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D68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0"/>
        <w:rPr>
          <w:rFonts w:hint="eastAsia" w:ascii="黑体" w:hAnsi="黑体" w:eastAsia="黑体" w:cs="黑体"/>
          <w:spacing w:val="-6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  <w:r>
        <w:rPr>
          <w:rFonts w:hint="eastAsia" w:ascii="黑体" w:hAnsi="黑体" w:eastAsia="黑体" w:cs="黑体"/>
          <w:spacing w:val="-6"/>
          <w:sz w:val="31"/>
          <w:szCs w:val="31"/>
          <w:lang w:val="en-US" w:eastAsia="zh-CN"/>
        </w:rPr>
        <w:t>1</w:t>
      </w:r>
    </w:p>
    <w:p w14:paraId="03BF1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1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val="en-US" w:eastAsia="zh-CN"/>
        </w:rPr>
        <w:t>县政府承接省</w:t>
      </w:r>
      <w:bookmarkStart w:id="3" w:name="_GoBack"/>
      <w:bookmarkEnd w:id="3"/>
      <w:r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val="en-US" w:eastAsia="zh-CN"/>
        </w:rPr>
        <w:t>政府决定下放审批层级或委托实施的行政审批事项清单（共12项）</w:t>
      </w:r>
    </w:p>
    <w:p w14:paraId="44333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51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val="en-US" w:eastAsia="zh-CN"/>
        </w:rPr>
      </w:pPr>
    </w:p>
    <w:tbl>
      <w:tblPr>
        <w:tblStyle w:val="7"/>
        <w:tblpPr w:leftFromText="180" w:rightFromText="180" w:vertAnchor="text" w:horzAnchor="page" w:tblpX="1918" w:tblpY="100"/>
        <w:tblOverlap w:val="never"/>
        <w:tblW w:w="13620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690"/>
        <w:gridCol w:w="1185"/>
        <w:gridCol w:w="1395"/>
        <w:gridCol w:w="945"/>
        <w:gridCol w:w="1710"/>
        <w:gridCol w:w="855"/>
        <w:gridCol w:w="960"/>
        <w:gridCol w:w="1200"/>
        <w:gridCol w:w="3270"/>
        <w:gridCol w:w="810"/>
      </w:tblGrid>
      <w:tr w14:paraId="5EDBDA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tblHeader/>
        </w:trPr>
        <w:tc>
          <w:tcPr>
            <w:tcW w:w="600" w:type="dxa"/>
            <w:vMerge w:val="restart"/>
            <w:tcBorders>
              <w:bottom w:val="nil"/>
            </w:tcBorders>
            <w:textDirection w:val="tbRlV"/>
            <w:vAlign w:val="center"/>
          </w:tcPr>
          <w:p w14:paraId="6A036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1"/>
                <w:sz w:val="18"/>
                <w:szCs w:val="18"/>
              </w:rPr>
              <w:t>序号</w:t>
            </w:r>
          </w:p>
        </w:tc>
        <w:tc>
          <w:tcPr>
            <w:tcW w:w="690" w:type="dxa"/>
            <w:vMerge w:val="restart"/>
            <w:tcBorders>
              <w:bottom w:val="nil"/>
            </w:tcBorders>
            <w:vAlign w:val="center"/>
          </w:tcPr>
          <w:p w14:paraId="6DBADB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5"/>
                <w:sz w:val="18"/>
                <w:szCs w:val="18"/>
              </w:rPr>
              <w:t>现实</w:t>
            </w:r>
          </w:p>
          <w:p w14:paraId="5FA44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4"/>
                <w:sz w:val="18"/>
                <w:szCs w:val="18"/>
              </w:rPr>
              <w:t>施部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门</w:t>
            </w:r>
          </w:p>
        </w:tc>
        <w:tc>
          <w:tcPr>
            <w:tcW w:w="2580" w:type="dxa"/>
            <w:gridSpan w:val="2"/>
            <w:vAlign w:val="center"/>
          </w:tcPr>
          <w:p w14:paraId="3E0CA9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945" w:type="dxa"/>
            <w:vMerge w:val="restart"/>
            <w:tcBorders>
              <w:bottom w:val="nil"/>
            </w:tcBorders>
            <w:vAlign w:val="center"/>
          </w:tcPr>
          <w:p w14:paraId="6EEA5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hanging="6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4"/>
                <w:sz w:val="18"/>
                <w:szCs w:val="18"/>
              </w:rPr>
              <w:t>职权</w:t>
            </w:r>
            <w:r>
              <w:rPr>
                <w:rFonts w:hint="eastAsia" w:ascii="黑体" w:hAnsi="黑体" w:eastAsia="黑体" w:cs="黑体"/>
                <w:spacing w:val="-8"/>
                <w:sz w:val="18"/>
                <w:szCs w:val="18"/>
              </w:rPr>
              <w:t>类型</w:t>
            </w:r>
          </w:p>
        </w:tc>
        <w:tc>
          <w:tcPr>
            <w:tcW w:w="1710" w:type="dxa"/>
            <w:vMerge w:val="restart"/>
            <w:tcBorders>
              <w:bottom w:val="nil"/>
            </w:tcBorders>
            <w:vAlign w:val="center"/>
          </w:tcPr>
          <w:p w14:paraId="66347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3"/>
                <w:sz w:val="18"/>
                <w:szCs w:val="18"/>
              </w:rPr>
              <w:t>设定依据</w:t>
            </w:r>
          </w:p>
        </w:tc>
        <w:tc>
          <w:tcPr>
            <w:tcW w:w="855" w:type="dxa"/>
            <w:vMerge w:val="restart"/>
            <w:tcBorders>
              <w:bottom w:val="nil"/>
            </w:tcBorders>
            <w:vAlign w:val="center"/>
          </w:tcPr>
          <w:p w14:paraId="2B433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pacing w:val="-8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8"/>
                <w:sz w:val="18"/>
                <w:szCs w:val="18"/>
              </w:rPr>
              <w:t>改革</w:t>
            </w:r>
          </w:p>
          <w:p w14:paraId="0B21B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6"/>
                <w:sz w:val="18"/>
                <w:szCs w:val="18"/>
              </w:rPr>
              <w:t>意见</w:t>
            </w:r>
          </w:p>
        </w:tc>
        <w:tc>
          <w:tcPr>
            <w:tcW w:w="960" w:type="dxa"/>
            <w:vMerge w:val="restart"/>
            <w:tcBorders>
              <w:bottom w:val="nil"/>
            </w:tcBorders>
            <w:vAlign w:val="center"/>
          </w:tcPr>
          <w:p w14:paraId="0816A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pacing w:val="-5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5"/>
                <w:sz w:val="18"/>
                <w:szCs w:val="18"/>
              </w:rPr>
              <w:t>承接</w:t>
            </w:r>
          </w:p>
          <w:p w14:paraId="72448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1200" w:type="dxa"/>
            <w:vMerge w:val="restart"/>
            <w:tcBorders>
              <w:bottom w:val="nil"/>
            </w:tcBorders>
            <w:vAlign w:val="center"/>
          </w:tcPr>
          <w:p w14:paraId="6466A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pacing w:val="-5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5"/>
                <w:sz w:val="18"/>
                <w:szCs w:val="18"/>
              </w:rPr>
              <w:t>监管</w:t>
            </w:r>
          </w:p>
          <w:p w14:paraId="4A71A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3270" w:type="dxa"/>
            <w:vMerge w:val="restart"/>
            <w:tcBorders>
              <w:bottom w:val="nil"/>
            </w:tcBorders>
            <w:vAlign w:val="center"/>
          </w:tcPr>
          <w:p w14:paraId="3BA7E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hanging="90"/>
              <w:jc w:val="center"/>
              <w:textAlignment w:val="auto"/>
              <w:rPr>
                <w:rFonts w:hint="eastAsia" w:ascii="黑体" w:hAnsi="黑体" w:eastAsia="黑体" w:cs="黑体"/>
                <w:spacing w:val="-3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3"/>
                <w:sz w:val="18"/>
                <w:szCs w:val="18"/>
              </w:rPr>
              <w:t>工作衔接和事中</w:t>
            </w:r>
          </w:p>
          <w:p w14:paraId="7723D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hanging="90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3"/>
                <w:sz w:val="18"/>
                <w:szCs w:val="18"/>
              </w:rPr>
              <w:t>事后监管措施</w:t>
            </w:r>
          </w:p>
        </w:tc>
        <w:tc>
          <w:tcPr>
            <w:tcW w:w="810" w:type="dxa"/>
            <w:vMerge w:val="restart"/>
            <w:tcBorders>
              <w:bottom w:val="nil"/>
            </w:tcBorders>
            <w:vAlign w:val="center"/>
          </w:tcPr>
          <w:p w14:paraId="4FE29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1"/>
              </w:rPr>
            </w:pPr>
          </w:p>
          <w:p w14:paraId="24197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5"/>
                <w:sz w:val="18"/>
                <w:szCs w:val="18"/>
              </w:rPr>
              <w:t>备注</w:t>
            </w:r>
          </w:p>
        </w:tc>
      </w:tr>
      <w:tr w14:paraId="457DD2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Header/>
        </w:trPr>
        <w:tc>
          <w:tcPr>
            <w:tcW w:w="600" w:type="dxa"/>
            <w:vMerge w:val="continue"/>
            <w:tcBorders>
              <w:top w:val="nil"/>
            </w:tcBorders>
            <w:textDirection w:val="tbRlV"/>
            <w:vAlign w:val="center"/>
          </w:tcPr>
          <w:p w14:paraId="77860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690" w:type="dxa"/>
            <w:vMerge w:val="continue"/>
            <w:tcBorders>
              <w:top w:val="nil"/>
            </w:tcBorders>
            <w:vAlign w:val="center"/>
          </w:tcPr>
          <w:p w14:paraId="520B7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185" w:type="dxa"/>
            <w:vAlign w:val="center"/>
          </w:tcPr>
          <w:p w14:paraId="2C1EC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pacing w:val="-1"/>
                <w:sz w:val="20"/>
                <w:szCs w:val="20"/>
              </w:rPr>
              <w:t>主项</w:t>
            </w:r>
          </w:p>
        </w:tc>
        <w:tc>
          <w:tcPr>
            <w:tcW w:w="1395" w:type="dxa"/>
            <w:vAlign w:val="center"/>
          </w:tcPr>
          <w:p w14:paraId="606C4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pacing w:val="2"/>
                <w:sz w:val="20"/>
                <w:szCs w:val="20"/>
              </w:rPr>
              <w:t>子项</w:t>
            </w:r>
          </w:p>
        </w:tc>
        <w:tc>
          <w:tcPr>
            <w:tcW w:w="945" w:type="dxa"/>
            <w:vMerge w:val="continue"/>
            <w:tcBorders>
              <w:top w:val="nil"/>
            </w:tcBorders>
            <w:vAlign w:val="center"/>
          </w:tcPr>
          <w:p w14:paraId="42CF2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710" w:type="dxa"/>
            <w:vMerge w:val="continue"/>
            <w:tcBorders>
              <w:top w:val="nil"/>
            </w:tcBorders>
            <w:vAlign w:val="center"/>
          </w:tcPr>
          <w:p w14:paraId="02D7A0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</w:tcBorders>
            <w:vAlign w:val="center"/>
          </w:tcPr>
          <w:p w14:paraId="76FBA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  <w:vAlign w:val="center"/>
          </w:tcPr>
          <w:p w14:paraId="740D1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  <w:vAlign w:val="center"/>
          </w:tcPr>
          <w:p w14:paraId="482D3A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3270" w:type="dxa"/>
            <w:vMerge w:val="continue"/>
            <w:tcBorders>
              <w:top w:val="nil"/>
            </w:tcBorders>
            <w:vAlign w:val="center"/>
          </w:tcPr>
          <w:p w14:paraId="04CD4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10" w:type="dxa"/>
            <w:vMerge w:val="continue"/>
            <w:tcBorders>
              <w:top w:val="nil"/>
            </w:tcBorders>
            <w:vAlign w:val="center"/>
          </w:tcPr>
          <w:p w14:paraId="00766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5DDE63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0" w:hRule="atLeast"/>
        </w:trPr>
        <w:tc>
          <w:tcPr>
            <w:tcW w:w="600" w:type="dxa"/>
            <w:vAlign w:val="center"/>
          </w:tcPr>
          <w:p w14:paraId="09A1A81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1</w:t>
            </w:r>
          </w:p>
        </w:tc>
        <w:tc>
          <w:tcPr>
            <w:tcW w:w="690" w:type="dxa"/>
            <w:vAlign w:val="center"/>
          </w:tcPr>
          <w:p w14:paraId="70818B6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highlight w:val="none"/>
              </w:rPr>
              <w:t>省发</w:t>
            </w:r>
            <w:r>
              <w:rPr>
                <w:rFonts w:hint="eastAsia" w:ascii="仿宋_GB2312" w:hAnsi="仿宋_GB2312" w:eastAsia="仿宋_GB2312" w:cs="仿宋_GB2312"/>
                <w:spacing w:val="-4"/>
                <w:highlight w:val="none"/>
              </w:rPr>
              <w:t>展</w:t>
            </w:r>
          </w:p>
          <w:p w14:paraId="16B71D0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highlight w:val="none"/>
              </w:rPr>
              <w:t>改革委</w:t>
            </w:r>
          </w:p>
        </w:tc>
        <w:tc>
          <w:tcPr>
            <w:tcW w:w="1185" w:type="dxa"/>
            <w:vAlign w:val="center"/>
          </w:tcPr>
          <w:p w14:paraId="1237EF8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bookmarkStart w:id="0" w:name="OLE_LINK13"/>
            <w:r>
              <w:rPr>
                <w:rFonts w:hint="eastAsia" w:ascii="仿宋_GB2312" w:hAnsi="仿宋_GB2312" w:eastAsia="仿宋_GB2312" w:cs="仿宋_GB2312"/>
                <w:spacing w:val="-4"/>
              </w:rPr>
              <w:t>汽车备案</w:t>
            </w:r>
            <w:bookmarkEnd w:id="0"/>
          </w:p>
        </w:tc>
        <w:tc>
          <w:tcPr>
            <w:tcW w:w="1395" w:type="dxa"/>
            <w:vAlign w:val="center"/>
          </w:tcPr>
          <w:p w14:paraId="312D996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9"/>
              </w:rPr>
              <w:t>专用汽车、挂车</w:t>
            </w:r>
            <w:r>
              <w:rPr>
                <w:rFonts w:hint="eastAsia" w:ascii="仿宋_GB2312" w:hAnsi="仿宋_GB2312" w:eastAsia="仿宋_GB2312" w:cs="仿宋_GB2312"/>
                <w:spacing w:val="-5"/>
              </w:rPr>
              <w:t>备案</w:t>
            </w:r>
          </w:p>
        </w:tc>
        <w:tc>
          <w:tcPr>
            <w:tcW w:w="945" w:type="dxa"/>
            <w:vAlign w:val="center"/>
          </w:tcPr>
          <w:p w14:paraId="79D24DD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0D1B7D8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</w:rPr>
              <w:t>备案</w:t>
            </w:r>
          </w:p>
        </w:tc>
        <w:tc>
          <w:tcPr>
            <w:tcW w:w="1710" w:type="dxa"/>
            <w:vAlign w:val="center"/>
          </w:tcPr>
          <w:p w14:paraId="6BEEEB6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《汽车产业投资管理规定》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（国家发展和改革委员会令</w:t>
            </w:r>
            <w:r>
              <w:rPr>
                <w:rFonts w:hint="eastAsia" w:ascii="仿宋_GB2312" w:hAnsi="仿宋_GB2312" w:eastAsia="仿宋_GB2312" w:cs="仿宋_GB2312"/>
                <w:spacing w:val="-10"/>
              </w:rPr>
              <w:t>第22号）第六条、第二十八</w:t>
            </w:r>
            <w:r>
              <w:rPr>
                <w:rFonts w:hint="eastAsia" w:ascii="仿宋_GB2312" w:hAnsi="仿宋_GB2312" w:eastAsia="仿宋_GB2312" w:cs="仿宋_GB2312"/>
              </w:rPr>
              <w:t>条</w:t>
            </w:r>
          </w:p>
        </w:tc>
        <w:tc>
          <w:tcPr>
            <w:tcW w:w="855" w:type="dxa"/>
            <w:vAlign w:val="center"/>
          </w:tcPr>
          <w:p w14:paraId="39EA3E7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</w:rPr>
              <w:t>下放</w:t>
            </w:r>
          </w:p>
        </w:tc>
        <w:tc>
          <w:tcPr>
            <w:tcW w:w="960" w:type="dxa"/>
            <w:vAlign w:val="center"/>
          </w:tcPr>
          <w:p w14:paraId="3BAF057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县行政审批服务管理局</w:t>
            </w:r>
          </w:p>
        </w:tc>
        <w:tc>
          <w:tcPr>
            <w:tcW w:w="1200" w:type="dxa"/>
            <w:vAlign w:val="center"/>
          </w:tcPr>
          <w:p w14:paraId="54F0A0F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县</w:t>
            </w:r>
            <w:bookmarkStart w:id="1" w:name="OLE_LINK11"/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发展改革和</w:t>
            </w:r>
          </w:p>
          <w:p w14:paraId="2B94615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科学技术局</w:t>
            </w:r>
            <w:bookmarkEnd w:id="1"/>
          </w:p>
        </w:tc>
        <w:tc>
          <w:tcPr>
            <w:tcW w:w="3270" w:type="dxa"/>
            <w:vAlign w:val="center"/>
          </w:tcPr>
          <w:p w14:paraId="77F85D6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right="0" w:firstLine="344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lang w:val="en-US" w:eastAsia="zh-CN"/>
              </w:rPr>
              <w:t>1.县行政审批服务管理局要加强与省、市、县发改部门对接，开展业务培训，确保落实承接到位；</w:t>
            </w:r>
          </w:p>
          <w:p w14:paraId="2852204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right="0" w:firstLine="344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县发展改革和科学技术局事中事后监管</w:t>
            </w:r>
            <w:r>
              <w:rPr>
                <w:rFonts w:hint="eastAsia" w:ascii="仿宋_GB2312" w:hAnsi="仿宋_GB2312" w:eastAsia="仿宋_GB2312" w:cs="仿宋_GB2312"/>
                <w:spacing w:val="-4"/>
                <w:lang w:val="en-US" w:eastAsia="zh-CN"/>
              </w:rPr>
              <w:t>要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按照《山西省企业投资项目核准和备案管理办法》执行。</w:t>
            </w:r>
          </w:p>
        </w:tc>
        <w:tc>
          <w:tcPr>
            <w:tcW w:w="810" w:type="dxa"/>
            <w:vAlign w:val="center"/>
          </w:tcPr>
          <w:p w14:paraId="139D6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7B97D9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6" w:hRule="atLeast"/>
        </w:trPr>
        <w:tc>
          <w:tcPr>
            <w:tcW w:w="600" w:type="dxa"/>
            <w:shd w:val="clear" w:color="auto" w:fill="auto"/>
            <w:vAlign w:val="center"/>
          </w:tcPr>
          <w:p w14:paraId="44E1770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3DBC4DF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</w:rPr>
              <w:t>省农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业</w:t>
            </w:r>
          </w:p>
          <w:p w14:paraId="0111037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农村厅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2B3EA48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bookmarkStart w:id="2" w:name="OLE_LINK18"/>
            <w:r>
              <w:rPr>
                <w:rFonts w:hint="eastAsia" w:ascii="仿宋_GB2312" w:hAnsi="仿宋_GB2312" w:eastAsia="仿宋_GB2312" w:cs="仿宋_GB2312"/>
                <w:spacing w:val="9"/>
              </w:rPr>
              <w:t>使用低于国家或地方规定的种用标准的农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作物种子审批</w:t>
            </w:r>
            <w:bookmarkEnd w:id="2"/>
          </w:p>
        </w:tc>
        <w:tc>
          <w:tcPr>
            <w:tcW w:w="1395" w:type="dxa"/>
            <w:shd w:val="clear" w:color="auto" w:fill="auto"/>
            <w:vAlign w:val="center"/>
          </w:tcPr>
          <w:p w14:paraId="1B74B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0A7649B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76567D0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2D70E24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《中华人民共和国种子法》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第五十二条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30B0A47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</w:rPr>
              <w:t>下放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430573C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县农业</w:t>
            </w:r>
          </w:p>
          <w:p w14:paraId="31A6953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农村局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7A9DA98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县农业农村局</w:t>
            </w:r>
          </w:p>
        </w:tc>
        <w:tc>
          <w:tcPr>
            <w:tcW w:w="3270" w:type="dxa"/>
            <w:shd w:val="clear" w:color="auto" w:fill="auto"/>
            <w:vAlign w:val="center"/>
          </w:tcPr>
          <w:p w14:paraId="57E8986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33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.县农业农村局要加强与省、市农业农村部门对接，加强业务指导，开展人员培训，确保落实承接到位；</w:t>
            </w:r>
          </w:p>
          <w:p w14:paraId="212C86A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3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2.县农业农村局要采取“双随机、一公开”抽查方式，严格日常监管检查，发现未经审批违法违规使用的，要依法查处并公开结果，确保监管到位；</w:t>
            </w:r>
          </w:p>
          <w:p w14:paraId="4648661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rightChars="0" w:firstLine="3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3.对于使用低于国家或地方规定的种用标准种子的公司查看申请表、相关证明、农作物种子生产经营许可证等材料。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DA50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426BCD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5" w:hRule="atLeast"/>
        </w:trPr>
        <w:tc>
          <w:tcPr>
            <w:tcW w:w="600" w:type="dxa"/>
            <w:shd w:val="clear" w:color="auto" w:fill="auto"/>
            <w:vAlign w:val="center"/>
          </w:tcPr>
          <w:p w14:paraId="6540AC9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3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7B7016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highlight w:val="none"/>
              </w:rPr>
              <w:t>省农</w:t>
            </w:r>
            <w:r>
              <w:rPr>
                <w:rFonts w:hint="eastAsia" w:ascii="仿宋_GB2312" w:hAnsi="仿宋_GB2312" w:eastAsia="仿宋_GB2312" w:cs="仿宋_GB2312"/>
                <w:spacing w:val="-4"/>
                <w:highlight w:val="none"/>
              </w:rPr>
              <w:t>业</w:t>
            </w:r>
          </w:p>
          <w:p w14:paraId="59B1008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highlight w:val="none"/>
              </w:rPr>
              <w:t>农村厅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27A752B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</w:rPr>
              <w:t>动物及动物产</w:t>
            </w:r>
            <w:r>
              <w:rPr>
                <w:rFonts w:hint="eastAsia" w:ascii="仿宋_GB2312" w:hAnsi="仿宋_GB2312" w:eastAsia="仿宋_GB2312" w:cs="仿宋_GB2312"/>
                <w:spacing w:val="9"/>
              </w:rPr>
              <w:t>品检疫合格证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核发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781C1A7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</w:rPr>
              <w:t>动物及动物产</w:t>
            </w:r>
            <w:r>
              <w:rPr>
                <w:rFonts w:hint="eastAsia" w:ascii="仿宋_GB2312" w:hAnsi="仿宋_GB2312" w:eastAsia="仿宋_GB2312" w:cs="仿宋_GB2312"/>
                <w:spacing w:val="9"/>
              </w:rPr>
              <w:t>品检疫合格证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核发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3B49133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167F4C3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4E7EE5D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《中华人民共和国动物防疫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法》第十一条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6EE26A3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highlight w:val="none"/>
              </w:rPr>
              <w:t>下放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12F2CB8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highlight w:val="none"/>
                <w:lang w:val="en-US" w:eastAsia="zh-CN"/>
              </w:rPr>
              <w:t>县行政审批服务管理局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7392ABE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县农业农村局</w:t>
            </w:r>
          </w:p>
        </w:tc>
        <w:tc>
          <w:tcPr>
            <w:tcW w:w="3270" w:type="dxa"/>
            <w:shd w:val="clear" w:color="auto" w:fill="auto"/>
            <w:vAlign w:val="center"/>
          </w:tcPr>
          <w:p w14:paraId="4F38B09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34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highlight w:val="none"/>
                <w:lang w:val="en-US" w:eastAsia="zh-CN"/>
              </w:rPr>
              <w:t>1.县行政审批服务管理局要加强与省、市、县农业农村部门对接，加强业务指导，开展人员培训，确保落实承接到位；</w:t>
            </w:r>
          </w:p>
          <w:p w14:paraId="4EEDE64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34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highlight w:val="none"/>
                <w:lang w:val="en-US" w:eastAsia="zh-CN"/>
              </w:rPr>
              <w:t>2.县农业农村局要加强日常监管检查，采取“双随机、一公开”方式，开展定期、不定期现场检查。通过检疫信息系统进行信息化监管等方式加强监管，确保监管到位；</w:t>
            </w:r>
          </w:p>
          <w:p w14:paraId="4B8AE68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rightChars="0" w:firstLine="34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highlight w:val="none"/>
                <w:lang w:val="en-US" w:eastAsia="zh-CN"/>
              </w:rPr>
              <w:t>3.通过动物检疫合格证明电子出证系统，掌握全省发证信息。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31A9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1F30BB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1" w:hRule="atLeast"/>
        </w:trPr>
        <w:tc>
          <w:tcPr>
            <w:tcW w:w="600" w:type="dxa"/>
            <w:shd w:val="clear" w:color="auto" w:fill="auto"/>
            <w:vAlign w:val="center"/>
          </w:tcPr>
          <w:p w14:paraId="514ACD6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4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F65CCB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</w:rPr>
              <w:t>省农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业</w:t>
            </w:r>
          </w:p>
          <w:p w14:paraId="4D950F4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农村厅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437C206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</w:rPr>
              <w:t>向无规定动物</w:t>
            </w:r>
            <w:r>
              <w:rPr>
                <w:rFonts w:hint="eastAsia" w:ascii="仿宋_GB2312" w:hAnsi="仿宋_GB2312" w:eastAsia="仿宋_GB2312" w:cs="仿宋_GB2312"/>
                <w:spacing w:val="9"/>
              </w:rPr>
              <w:t>疫病区输入易感动物、动物产品的检疫审</w:t>
            </w:r>
            <w:r>
              <w:rPr>
                <w:rFonts w:hint="eastAsia" w:ascii="仿宋_GB2312" w:hAnsi="仿宋_GB2312" w:eastAsia="仿宋_GB2312" w:cs="仿宋_GB2312"/>
              </w:rPr>
              <w:t>批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46BA11D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</w:rPr>
              <w:t>向无规定动物</w:t>
            </w:r>
            <w:r>
              <w:rPr>
                <w:rFonts w:hint="eastAsia" w:ascii="仿宋_GB2312" w:hAnsi="仿宋_GB2312" w:eastAsia="仿宋_GB2312" w:cs="仿宋_GB2312"/>
                <w:spacing w:val="9"/>
              </w:rPr>
              <w:t>疫病区输入易感动物、动物产品的检疫审</w:t>
            </w:r>
            <w:r>
              <w:rPr>
                <w:rFonts w:hint="eastAsia" w:ascii="仿宋_GB2312" w:hAnsi="仿宋_GB2312" w:eastAsia="仿宋_GB2312" w:cs="仿宋_GB2312"/>
              </w:rPr>
              <w:t>批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60C85C2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48E6085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6DAF74F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《中华人民共和国动物防疫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法》第五十四条</w:t>
            </w:r>
          </w:p>
          <w:p w14:paraId="6D9F311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《动物检疫管理办法》（农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业农村部令2022年第7号）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第二十六条、第二十七条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19B2CCC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</w:rPr>
              <w:t>下放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7563F59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县农业农村局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A2D920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县农业农村局</w:t>
            </w:r>
          </w:p>
        </w:tc>
        <w:tc>
          <w:tcPr>
            <w:tcW w:w="3270" w:type="dxa"/>
            <w:shd w:val="clear" w:color="auto" w:fill="auto"/>
            <w:vAlign w:val="center"/>
          </w:tcPr>
          <w:p w14:paraId="26BE1AC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34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highlight w:val="none"/>
                <w:lang w:val="en-US" w:eastAsia="zh-CN"/>
              </w:rPr>
              <w:t>1.县农业农村局要加强与省、市农业农村部门对接，加强业务指导，开展人员培训，确保落实承接到位；</w:t>
            </w:r>
          </w:p>
          <w:p w14:paraId="125E451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rightChars="0" w:firstLine="34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highlight w:val="none"/>
                <w:lang w:val="en-US" w:eastAsia="zh-CN"/>
              </w:rPr>
              <w:t>2.县农业农村局要采取“双随机、一公开”监管、重点监管等方式，加强日常监管。并通过检疫信息系统进行信息化监管。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943F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646BCA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5" w:hRule="atLeast"/>
        </w:trPr>
        <w:tc>
          <w:tcPr>
            <w:tcW w:w="600" w:type="dxa"/>
            <w:shd w:val="clear" w:color="auto" w:fill="auto"/>
            <w:vAlign w:val="center"/>
          </w:tcPr>
          <w:p w14:paraId="3891EEC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lang w:val="en-US" w:eastAsia="zh-CN"/>
              </w:rPr>
              <w:t>5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400840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</w:rPr>
              <w:t>省农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业</w:t>
            </w:r>
          </w:p>
          <w:p w14:paraId="0DF0CC6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农村厅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1C472BE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</w:rPr>
              <w:t>水域滩涂养殖</w:t>
            </w:r>
            <w:r>
              <w:rPr>
                <w:rFonts w:hint="eastAsia" w:ascii="仿宋_GB2312" w:hAnsi="仿宋_GB2312" w:eastAsia="仿宋_GB2312" w:cs="仿宋_GB2312"/>
                <w:spacing w:val="-5"/>
              </w:rPr>
              <w:t>证核发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0E768C3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</w:rPr>
              <w:t>水域滩涂养殖</w:t>
            </w:r>
            <w:r>
              <w:rPr>
                <w:rFonts w:hint="eastAsia" w:ascii="仿宋_GB2312" w:hAnsi="仿宋_GB2312" w:eastAsia="仿宋_GB2312" w:cs="仿宋_GB2312"/>
              </w:rPr>
              <w:t>证核发（省级</w:t>
            </w:r>
            <w:r>
              <w:rPr>
                <w:rFonts w:hint="eastAsia" w:ascii="仿宋_GB2312" w:hAnsi="仿宋_GB2312" w:eastAsia="仿宋_GB2312" w:cs="仿宋_GB2312"/>
                <w:spacing w:val="3"/>
              </w:rPr>
              <w:t>权限）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395D205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49A2995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56E3552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《中华人民共和国渔业法》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第十一条第一款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7DBC0F6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</w:rPr>
              <w:t>下放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757DDED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县行政审批服务管理局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1E300D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县农业农村局</w:t>
            </w:r>
          </w:p>
        </w:tc>
        <w:tc>
          <w:tcPr>
            <w:tcW w:w="3270" w:type="dxa"/>
            <w:shd w:val="clear" w:color="auto" w:fill="auto"/>
            <w:vAlign w:val="center"/>
          </w:tcPr>
          <w:p w14:paraId="3EB8DB7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firstLine="34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3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highlight w:val="none"/>
                <w:lang w:val="en-US" w:eastAsia="zh-CN"/>
              </w:rPr>
              <w:t>1.县行政审批服务管理局要加强与省、市、县农业农村部门对接，加强业务指导，开展人员培训，确保落实承接到位；</w:t>
            </w:r>
          </w:p>
          <w:p w14:paraId="7B1826A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right="0" w:rightChars="0" w:firstLine="34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highlight w:val="none"/>
                <w:lang w:val="en-US" w:eastAsia="zh-CN"/>
              </w:rPr>
              <w:t>2.县农业农村局要开展“双随机、一公开”监管，对风险等级高的领域、投诉举报多的企业实施重点监管。同时，通过渔政指挥系统，掌握全省证书核发情况，开展定期不定期现场检查。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4FCF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5E66E1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5" w:hRule="atLeast"/>
        </w:trPr>
        <w:tc>
          <w:tcPr>
            <w:tcW w:w="600" w:type="dxa"/>
            <w:shd w:val="clear" w:color="auto" w:fill="auto"/>
            <w:vAlign w:val="center"/>
          </w:tcPr>
          <w:p w14:paraId="180CD99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lang w:val="en-US" w:eastAsia="zh-CN"/>
              </w:rPr>
              <w:t>6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3A5692D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</w:rPr>
              <w:t>省农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业</w:t>
            </w:r>
          </w:p>
          <w:p w14:paraId="5AB62FC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农村厅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0D10ACF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</w:rPr>
              <w:t>动物防疫条件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合格证核发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66C5B69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</w:rPr>
              <w:t>动物防疫条件</w:t>
            </w:r>
            <w:r>
              <w:rPr>
                <w:rFonts w:hint="eastAsia" w:ascii="仿宋_GB2312" w:hAnsi="仿宋_GB2312" w:eastAsia="仿宋_GB2312" w:cs="仿宋_GB2312"/>
                <w:spacing w:val="-8"/>
              </w:rPr>
              <w:t>合格证核发</w:t>
            </w:r>
            <w:r>
              <w:rPr>
                <w:rFonts w:hint="eastAsia" w:ascii="仿宋_GB2312" w:hAnsi="仿宋_GB2312" w:eastAsia="仿宋_GB2312" w:cs="仿宋_GB2312"/>
                <w:spacing w:val="3"/>
              </w:rPr>
              <w:t>（省级权限）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38BD59D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1761E93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17155F6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《中华人民共和国动物防疫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法》第二十五条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54D5F24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</w:rPr>
              <w:t>下放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3DAA65B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县行政审批服务管理局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280928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县农业农村局</w:t>
            </w:r>
          </w:p>
        </w:tc>
        <w:tc>
          <w:tcPr>
            <w:tcW w:w="3270" w:type="dxa"/>
            <w:shd w:val="clear" w:color="auto" w:fill="auto"/>
            <w:vAlign w:val="center"/>
          </w:tcPr>
          <w:p w14:paraId="5969749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324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7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pacing w:val="13"/>
              </w:rPr>
              <w:t>县</w:t>
            </w:r>
            <w:r>
              <w:rPr>
                <w:rFonts w:hint="eastAsia" w:ascii="仿宋_GB2312" w:hAnsi="仿宋_GB2312" w:eastAsia="仿宋_GB2312" w:cs="仿宋_GB2312"/>
                <w:spacing w:val="13"/>
                <w:lang w:val="en-US" w:eastAsia="zh-CN"/>
              </w:rPr>
              <w:t>行政审批服务管理</w:t>
            </w: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局要加强与省、市、县农业农村部门对接，加强业务指导，开展人员培训，确保落实承接到位；</w:t>
            </w:r>
          </w:p>
          <w:p w14:paraId="03FA73E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33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pacing w:val="13"/>
              </w:rPr>
              <w:t>县农业农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村</w:t>
            </w: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局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通过“双随机、一公开”监管，发现违法违规行为要依法查处并公开结果</w:t>
            </w:r>
            <w:r>
              <w:rPr>
                <w:rFonts w:hint="eastAsia" w:ascii="仿宋_GB2312" w:hAnsi="仿宋_GB2312" w:eastAsia="仿宋_GB2312" w:cs="仿宋_GB2312"/>
                <w:spacing w:val="-7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针对行业突出问题和重大风险点，开展安全风险预警监测，及时发现隐患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并处置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强化社会监督，依法及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时处理投诉举报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。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B677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26A6C4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6" w:hRule="atLeast"/>
        </w:trPr>
        <w:tc>
          <w:tcPr>
            <w:tcW w:w="600" w:type="dxa"/>
            <w:shd w:val="clear" w:color="auto" w:fill="auto"/>
            <w:vAlign w:val="center"/>
          </w:tcPr>
          <w:p w14:paraId="0A94B2D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highlight w:val="none"/>
                <w:lang w:val="en-US" w:eastAsia="zh-CN"/>
              </w:rPr>
              <w:t>7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59BFA6D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highlight w:val="none"/>
              </w:rPr>
              <w:t>省农</w:t>
            </w:r>
            <w:r>
              <w:rPr>
                <w:rFonts w:hint="eastAsia" w:ascii="仿宋_GB2312" w:hAnsi="仿宋_GB2312" w:eastAsia="仿宋_GB2312" w:cs="仿宋_GB2312"/>
                <w:spacing w:val="-4"/>
                <w:highlight w:val="none"/>
              </w:rPr>
              <w:t>业</w:t>
            </w:r>
          </w:p>
          <w:p w14:paraId="6E60127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highlight w:val="none"/>
              </w:rPr>
              <w:t>农村厅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30ED8B5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highlight w:val="none"/>
              </w:rPr>
              <w:t>专用航标的设</w:t>
            </w:r>
            <w:r>
              <w:rPr>
                <w:rFonts w:hint="eastAsia" w:ascii="仿宋_GB2312" w:hAnsi="仿宋_GB2312" w:eastAsia="仿宋_GB2312" w:cs="仿宋_GB2312"/>
                <w:spacing w:val="3"/>
                <w:highlight w:val="none"/>
              </w:rPr>
              <w:t>置、撤除、位</w:t>
            </w:r>
            <w:r>
              <w:rPr>
                <w:rFonts w:hint="eastAsia" w:ascii="仿宋_GB2312" w:hAnsi="仿宋_GB2312" w:eastAsia="仿宋_GB2312" w:cs="仿宋_GB2312"/>
                <w:spacing w:val="9"/>
                <w:highlight w:val="none"/>
              </w:rPr>
              <w:t>置移动和其他</w:t>
            </w:r>
            <w:r>
              <w:rPr>
                <w:rFonts w:hint="eastAsia" w:ascii="仿宋_GB2312" w:hAnsi="仿宋_GB2312" w:eastAsia="仿宋_GB2312" w:cs="仿宋_GB2312"/>
                <w:spacing w:val="-2"/>
                <w:highlight w:val="none"/>
              </w:rPr>
              <w:t>状况改变审批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4FA375C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highlight w:val="none"/>
              </w:rPr>
              <w:t>专用航标的设</w:t>
            </w:r>
            <w:r>
              <w:rPr>
                <w:rFonts w:hint="eastAsia" w:ascii="仿宋_GB2312" w:hAnsi="仿宋_GB2312" w:eastAsia="仿宋_GB2312" w:cs="仿宋_GB2312"/>
                <w:spacing w:val="-15"/>
                <w:highlight w:val="none"/>
              </w:rPr>
              <w:t>置、撤除、位置移动和其他状况改变审批（省级</w:t>
            </w:r>
            <w:r>
              <w:rPr>
                <w:rFonts w:hint="eastAsia" w:ascii="仿宋_GB2312" w:hAnsi="仿宋_GB2312" w:eastAsia="仿宋_GB2312" w:cs="仿宋_GB2312"/>
                <w:spacing w:val="-11"/>
                <w:highlight w:val="none"/>
              </w:rPr>
              <w:t>权限）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039D06A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highlight w:val="none"/>
              </w:rPr>
              <w:t>行政</w:t>
            </w:r>
          </w:p>
          <w:p w14:paraId="013DA07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highlight w:val="none"/>
              </w:rPr>
              <w:t>许可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088783E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highlight w:val="none"/>
              </w:rPr>
              <w:t>《中华人民共和国航标条</w:t>
            </w:r>
            <w:r>
              <w:rPr>
                <w:rFonts w:hint="eastAsia" w:ascii="仿宋_GB2312" w:hAnsi="仿宋_GB2312" w:eastAsia="仿宋_GB2312" w:cs="仿宋_GB2312"/>
                <w:spacing w:val="-6"/>
                <w:highlight w:val="none"/>
              </w:rPr>
              <w:t>例》(国务院令第187号)第</w:t>
            </w:r>
            <w:r>
              <w:rPr>
                <w:rFonts w:hint="eastAsia" w:ascii="仿宋_GB2312" w:hAnsi="仿宋_GB2312" w:eastAsia="仿宋_GB2312" w:cs="仿宋_GB2312"/>
                <w:spacing w:val="-1"/>
                <w:highlight w:val="none"/>
              </w:rPr>
              <w:t>三条、第六条</w:t>
            </w:r>
          </w:p>
          <w:p w14:paraId="750D668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highlight w:val="none"/>
              </w:rPr>
              <w:t>《渔业航标管理办法》（农</w:t>
            </w:r>
            <w:r>
              <w:rPr>
                <w:rFonts w:hint="eastAsia" w:ascii="仿宋_GB2312" w:hAnsi="仿宋_GB2312" w:eastAsia="仿宋_GB2312" w:cs="仿宋_GB2312"/>
                <w:spacing w:val="-5"/>
                <w:highlight w:val="none"/>
              </w:rPr>
              <w:t>业部令2008年第13号）第</w:t>
            </w:r>
            <w:r>
              <w:rPr>
                <w:rFonts w:hint="eastAsia" w:ascii="仿宋_GB2312" w:hAnsi="仿宋_GB2312" w:eastAsia="仿宋_GB2312" w:cs="仿宋_GB2312"/>
                <w:spacing w:val="-3"/>
                <w:highlight w:val="none"/>
              </w:rPr>
              <w:t>三条、第八条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4D079A8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highlight w:val="none"/>
              </w:rPr>
              <w:t>下放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19EEB59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highlight w:val="none"/>
                <w:lang w:val="en-US" w:eastAsia="zh-CN"/>
              </w:rPr>
              <w:t>县农业农村局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AF19DF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县农业农村局</w:t>
            </w:r>
          </w:p>
        </w:tc>
        <w:tc>
          <w:tcPr>
            <w:tcW w:w="3270" w:type="dxa"/>
            <w:shd w:val="clear" w:color="auto" w:fill="auto"/>
            <w:vAlign w:val="center"/>
          </w:tcPr>
          <w:p w14:paraId="5BFABDD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33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pacing w:val="13"/>
              </w:rPr>
              <w:t>县</w:t>
            </w:r>
            <w:r>
              <w:rPr>
                <w:rFonts w:hint="eastAsia" w:ascii="仿宋_GB2312" w:hAnsi="仿宋_GB2312" w:eastAsia="仿宋_GB2312" w:cs="仿宋_GB2312"/>
                <w:spacing w:val="13"/>
                <w:lang w:val="en-US" w:eastAsia="zh-CN"/>
              </w:rPr>
              <w:t>农业农村局</w:t>
            </w: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要加强与省、市农业农村部门对接，加强业务指导，开展人员培训，确保落实承接到位；</w:t>
            </w:r>
          </w:p>
          <w:p w14:paraId="63564CE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33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>县农业农村局采取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“双随机、一公开”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监管</w:t>
            </w:r>
            <w:r>
              <w:rPr>
                <w:rFonts w:hint="eastAsia" w:ascii="仿宋_GB2312" w:hAnsi="仿宋_GB2312" w:eastAsia="仿宋_GB2312" w:cs="仿宋_GB2312"/>
                <w:spacing w:val="-6"/>
                <w:lang w:val="en-US" w:eastAsia="zh-CN"/>
              </w:rPr>
              <w:t>方式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开展定期</w:t>
            </w: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不定期现场检</w:t>
            </w:r>
            <w:r>
              <w:rPr>
                <w:rFonts w:hint="eastAsia" w:ascii="仿宋_GB2312" w:hAnsi="仿宋_GB2312" w:eastAsia="仿宋_GB2312" w:cs="仿宋_GB2312"/>
              </w:rPr>
              <w:t>查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对风险等级高的领域、投诉举报多的企业实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施重点监管。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6E32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63C8BD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5" w:hRule="atLeast"/>
        </w:trPr>
        <w:tc>
          <w:tcPr>
            <w:tcW w:w="600" w:type="dxa"/>
            <w:shd w:val="clear" w:color="auto" w:fill="auto"/>
            <w:vAlign w:val="center"/>
          </w:tcPr>
          <w:p w14:paraId="73409F1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highlight w:val="none"/>
                <w:lang w:val="en-US" w:eastAsia="zh-CN"/>
              </w:rPr>
              <w:t>8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518D2D9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highlight w:val="none"/>
              </w:rPr>
              <w:t>省农</w:t>
            </w:r>
            <w:r>
              <w:rPr>
                <w:rFonts w:hint="eastAsia" w:ascii="仿宋_GB2312" w:hAnsi="仿宋_GB2312" w:eastAsia="仿宋_GB2312" w:cs="仿宋_GB2312"/>
                <w:spacing w:val="-4"/>
                <w:highlight w:val="none"/>
              </w:rPr>
              <w:t>业</w:t>
            </w:r>
          </w:p>
          <w:p w14:paraId="00BF652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highlight w:val="none"/>
              </w:rPr>
              <w:t>农村厅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36C537D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</w:rPr>
              <w:t>农业植物检疫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证书核发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1318C46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</w:rPr>
              <w:t>农业植物检疫</w:t>
            </w:r>
            <w:r>
              <w:rPr>
                <w:rFonts w:hint="eastAsia" w:ascii="仿宋_GB2312" w:hAnsi="仿宋_GB2312" w:eastAsia="仿宋_GB2312" w:cs="仿宋_GB2312"/>
              </w:rPr>
              <w:t>证书核发（省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级权限）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0F91AE8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79C02C3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1BAA360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《植物检疫条例》第三条、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第七条、第八条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18B5554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</w:rPr>
              <w:t>下放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58C9C1B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highlight w:val="none"/>
                <w:lang w:val="en-US" w:eastAsia="zh-CN"/>
              </w:rPr>
              <w:t>县行政审批服务管理局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AFBF96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县农业农村局</w:t>
            </w:r>
          </w:p>
        </w:tc>
        <w:tc>
          <w:tcPr>
            <w:tcW w:w="3270" w:type="dxa"/>
            <w:shd w:val="clear" w:color="auto" w:fill="auto"/>
            <w:vAlign w:val="center"/>
          </w:tcPr>
          <w:p w14:paraId="587B61B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firstLine="356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pacing w:val="13"/>
              </w:rPr>
              <w:t>县</w:t>
            </w:r>
            <w:r>
              <w:rPr>
                <w:rFonts w:hint="eastAsia" w:ascii="仿宋_GB2312" w:hAnsi="仿宋_GB2312" w:eastAsia="仿宋_GB2312" w:cs="仿宋_GB2312"/>
                <w:spacing w:val="13"/>
                <w:lang w:val="en-US" w:eastAsia="zh-CN"/>
              </w:rPr>
              <w:t>行政审批服务管理局</w:t>
            </w: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要加强与省、市、县农业农村部门对接，加强业务指导，开展人员培训，确保落实承接到位；</w:t>
            </w:r>
          </w:p>
          <w:p w14:paraId="45A82DF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right="0" w:rightChars="0" w:firstLine="41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pacing w:val="13"/>
              </w:rPr>
              <w:t>县农业农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村</w:t>
            </w:r>
            <w:r>
              <w:rPr>
                <w:rFonts w:hint="eastAsia" w:ascii="仿宋_GB2312" w:hAnsi="仿宋_GB2312" w:eastAsia="仿宋_GB2312" w:cs="仿宋_GB2312"/>
                <w:spacing w:val="-3"/>
                <w:lang w:eastAsia="zh-CN"/>
              </w:rPr>
              <w:t>局</w:t>
            </w: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要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不定期进行检疫执法检</w:t>
            </w:r>
            <w:r>
              <w:rPr>
                <w:rFonts w:hint="eastAsia" w:ascii="仿宋_GB2312" w:hAnsi="仿宋_GB2312" w:eastAsia="仿宋_GB2312" w:cs="仿宋_GB2312"/>
              </w:rPr>
              <w:t>查，检查是否携带农业植物检疫调运证书，核对受检物品种类、品种数量、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受检作物面积</w:t>
            </w:r>
            <w:r>
              <w:rPr>
                <w:rFonts w:hint="eastAsia" w:ascii="仿宋_GB2312" w:hAnsi="仿宋_GB2312" w:eastAsia="仿宋_GB2312" w:cs="仿宋_GB2312"/>
                <w:spacing w:val="-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常规执法监管，检查是</w:t>
            </w:r>
            <w:r>
              <w:rPr>
                <w:rFonts w:hint="eastAsia" w:ascii="仿宋_GB2312" w:hAnsi="仿宋_GB2312" w:eastAsia="仿宋_GB2312" w:cs="仿宋_GB2312"/>
              </w:rPr>
              <w:t>否存在违反《植物检疫条例》等法律法规的其他行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为</w:t>
            </w:r>
            <w:r>
              <w:rPr>
                <w:rFonts w:hint="eastAsia" w:ascii="仿宋_GB2312" w:hAnsi="仿宋_GB2312" w:eastAsia="仿宋_GB2312" w:cs="仿宋_GB2312"/>
                <w:spacing w:val="-3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完善监督机制，强化农</w:t>
            </w:r>
            <w:r>
              <w:rPr>
                <w:rFonts w:hint="eastAsia" w:ascii="仿宋_GB2312" w:hAnsi="仿宋_GB2312" w:eastAsia="仿宋_GB2312" w:cs="仿宋_GB2312"/>
              </w:rPr>
              <w:t>业植物检疫宣传，接受广大群众对农业植物检疫工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作的咨询和投诉</w:t>
            </w: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。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5594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3346F0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6" w:hRule="atLeast"/>
        </w:trPr>
        <w:tc>
          <w:tcPr>
            <w:tcW w:w="600" w:type="dxa"/>
            <w:shd w:val="clear" w:color="auto" w:fill="auto"/>
            <w:vAlign w:val="center"/>
          </w:tcPr>
          <w:p w14:paraId="07C5DD1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highlight w:val="none"/>
                <w:lang w:val="en-US" w:eastAsia="zh-CN"/>
              </w:rPr>
              <w:t>9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FBA497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highlight w:val="none"/>
              </w:rPr>
              <w:t>省农</w:t>
            </w:r>
            <w:r>
              <w:rPr>
                <w:rFonts w:hint="eastAsia" w:ascii="仿宋_GB2312" w:hAnsi="仿宋_GB2312" w:eastAsia="仿宋_GB2312" w:cs="仿宋_GB2312"/>
                <w:spacing w:val="-4"/>
                <w:highlight w:val="none"/>
              </w:rPr>
              <w:t>业</w:t>
            </w:r>
          </w:p>
          <w:p w14:paraId="799A382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highlight w:val="none"/>
              </w:rPr>
              <w:t>农村厅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62E3ADD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</w:rPr>
              <w:t>农业植物产地检疫合格证签</w:t>
            </w:r>
            <w:r>
              <w:rPr>
                <w:rFonts w:hint="eastAsia" w:ascii="仿宋_GB2312" w:hAnsi="仿宋_GB2312" w:eastAsia="仿宋_GB2312" w:cs="仿宋_GB2312"/>
              </w:rPr>
              <w:t>发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44355D1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</w:rPr>
              <w:t>农业植物产地检疫合格证签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发（省级权限）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1240A7E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1C1BC5D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22FE3DE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《植物检疫条例》第三条、</w:t>
            </w:r>
            <w:r>
              <w:rPr>
                <w:rFonts w:hint="eastAsia" w:ascii="仿宋_GB2312" w:hAnsi="仿宋_GB2312" w:eastAsia="仿宋_GB2312" w:cs="仿宋_GB2312"/>
                <w:spacing w:val="-5"/>
              </w:rPr>
              <w:t>第十一条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28EC85C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highlight w:val="none"/>
              </w:rPr>
              <w:t>下放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077A6B6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highlight w:val="none"/>
                <w:lang w:val="en-US" w:eastAsia="zh-CN"/>
              </w:rPr>
              <w:t>县行政审批服务管理局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6942DA8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县农业农村局</w:t>
            </w:r>
          </w:p>
        </w:tc>
        <w:tc>
          <w:tcPr>
            <w:tcW w:w="3270" w:type="dxa"/>
            <w:shd w:val="clear" w:color="auto" w:fill="auto"/>
            <w:vAlign w:val="center"/>
          </w:tcPr>
          <w:p w14:paraId="0FA14A2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right="0" w:firstLine="356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pacing w:val="13"/>
              </w:rPr>
              <w:t>县</w:t>
            </w:r>
            <w:r>
              <w:rPr>
                <w:rFonts w:hint="eastAsia" w:ascii="仿宋_GB2312" w:hAnsi="仿宋_GB2312" w:eastAsia="仿宋_GB2312" w:cs="仿宋_GB2312"/>
                <w:spacing w:val="13"/>
                <w:lang w:val="en-US" w:eastAsia="zh-CN"/>
              </w:rPr>
              <w:t>行政审批服务管理局</w:t>
            </w: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门要加强与省、市、县农业农村部门对接，加强业务指导，开展人员培训，确保落实承接到位；</w:t>
            </w:r>
          </w:p>
          <w:p w14:paraId="66B98D8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right="0" w:rightChars="0" w:firstLine="356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pacing w:val="13"/>
              </w:rPr>
              <w:t>县农业农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村</w:t>
            </w:r>
            <w:r>
              <w:rPr>
                <w:rFonts w:hint="eastAsia" w:ascii="仿宋_GB2312" w:hAnsi="仿宋_GB2312" w:eastAsia="仿宋_GB2312" w:cs="仿宋_GB2312"/>
                <w:spacing w:val="-3"/>
                <w:lang w:eastAsia="zh-CN"/>
              </w:rPr>
              <w:t>局</w:t>
            </w: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要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不定期进行检疫执法检</w:t>
            </w:r>
            <w:r>
              <w:rPr>
                <w:rFonts w:hint="eastAsia" w:ascii="仿宋_GB2312" w:hAnsi="仿宋_GB2312" w:eastAsia="仿宋_GB2312" w:cs="仿宋_GB2312"/>
              </w:rPr>
              <w:t>查，检查是否携带农业植物检疫调运证书，核对受检物品种类、品种数量、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受检作物面积</w:t>
            </w:r>
            <w:r>
              <w:rPr>
                <w:rFonts w:hint="eastAsia" w:ascii="仿宋_GB2312" w:hAnsi="仿宋_GB2312" w:eastAsia="仿宋_GB2312" w:cs="仿宋_GB2312"/>
                <w:spacing w:val="-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常规执法监管，检查是</w:t>
            </w:r>
            <w:r>
              <w:rPr>
                <w:rFonts w:hint="eastAsia" w:ascii="仿宋_GB2312" w:hAnsi="仿宋_GB2312" w:eastAsia="仿宋_GB2312" w:cs="仿宋_GB2312"/>
              </w:rPr>
              <w:t>否存在违反法律法规的其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他行为</w:t>
            </w: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完善监督机制，强化农</w:t>
            </w:r>
            <w:r>
              <w:rPr>
                <w:rFonts w:hint="eastAsia" w:ascii="仿宋_GB2312" w:hAnsi="仿宋_GB2312" w:eastAsia="仿宋_GB2312" w:cs="仿宋_GB2312"/>
              </w:rPr>
              <w:t>业植物检疫宣传，接受广大群众对农业植物检疫工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作的咨询和投诉</w:t>
            </w: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。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CF12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03AB41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6" w:hRule="atLeast"/>
        </w:trPr>
        <w:tc>
          <w:tcPr>
            <w:tcW w:w="600" w:type="dxa"/>
            <w:shd w:val="clear" w:color="auto" w:fill="auto"/>
            <w:vAlign w:val="center"/>
          </w:tcPr>
          <w:p w14:paraId="18A12C2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9"/>
                <w:lang w:val="en-US" w:eastAsia="zh-CN"/>
              </w:rPr>
              <w:t>0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3485ECD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</w:rPr>
              <w:t>省退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役</w:t>
            </w:r>
          </w:p>
          <w:p w14:paraId="41D3697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军人厅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16D12CF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</w:rPr>
              <w:t>退出现役的一</w:t>
            </w:r>
            <w:r>
              <w:rPr>
                <w:rFonts w:hint="eastAsia" w:ascii="仿宋_GB2312" w:hAnsi="仿宋_GB2312" w:eastAsia="仿宋_GB2312" w:cs="仿宋_GB2312"/>
                <w:spacing w:val="8"/>
              </w:rPr>
              <w:t>级至四级残疾军人集中供养</w:t>
            </w:r>
            <w:r>
              <w:rPr>
                <w:rFonts w:hint="eastAsia" w:ascii="仿宋_GB2312" w:hAnsi="仿宋_GB2312" w:eastAsia="仿宋_GB2312" w:cs="仿宋_GB2312"/>
                <w:spacing w:val="-5"/>
              </w:rPr>
              <w:t>的批准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28B4FF8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</w:rPr>
              <w:t>退出现役的一级至四级残疾军人集中供养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的批准（涉及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县级部分）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357E822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其他</w:t>
            </w:r>
          </w:p>
          <w:p w14:paraId="3D9FF0B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09889D9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权力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25F004F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</w:rPr>
              <w:t>《军人抚恤优待条例》(国务</w:t>
            </w:r>
            <w:r>
              <w:rPr>
                <w:rFonts w:hint="eastAsia" w:ascii="仿宋_GB2312" w:hAnsi="仿宋_GB2312" w:eastAsia="仿宋_GB2312" w:cs="仿宋_GB2312"/>
                <w:spacing w:val="3"/>
              </w:rPr>
              <w:t>院、中央军事委员会令第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413号)第二十九条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2D5C1EC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</w:rPr>
              <w:t>下放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30086D3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县退役军人事务局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2B74CD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县退役军人事务局</w:t>
            </w:r>
          </w:p>
        </w:tc>
        <w:tc>
          <w:tcPr>
            <w:tcW w:w="3270" w:type="dxa"/>
            <w:shd w:val="clear" w:color="auto" w:fill="auto"/>
            <w:vAlign w:val="center"/>
          </w:tcPr>
          <w:p w14:paraId="0FE9A17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right="0" w:firstLine="356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pacing w:val="13"/>
              </w:rPr>
              <w:t>县退役军人事务</w:t>
            </w:r>
            <w:r>
              <w:rPr>
                <w:rFonts w:hint="eastAsia" w:ascii="仿宋_GB2312" w:hAnsi="仿宋_GB2312" w:eastAsia="仿宋_GB2312" w:cs="仿宋_GB2312"/>
                <w:spacing w:val="13"/>
                <w:lang w:eastAsia="zh-CN"/>
              </w:rPr>
              <w:t>局</w:t>
            </w: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要加强与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省</w:t>
            </w:r>
            <w:r>
              <w:rPr>
                <w:rFonts w:hint="eastAsia" w:ascii="仿宋_GB2312" w:hAnsi="仿宋_GB2312" w:eastAsia="仿宋_GB2312" w:cs="仿宋_GB2312"/>
                <w:spacing w:val="-7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退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役军人</w:t>
            </w:r>
            <w:r>
              <w:rPr>
                <w:rFonts w:hint="eastAsia" w:ascii="仿宋_GB2312" w:hAnsi="仿宋_GB2312" w:eastAsia="仿宋_GB2312" w:cs="仿宋_GB2312"/>
                <w:spacing w:val="-4"/>
                <w:lang w:val="en-US" w:eastAsia="zh-CN"/>
              </w:rPr>
              <w:t>事务部门</w:t>
            </w: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对接，加强业务指导，开展人员培训，确保落实承接到位；</w:t>
            </w:r>
          </w:p>
          <w:p w14:paraId="2858EB21"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10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right="0" w:rightChars="0" w:firstLine="356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pacing w:val="13"/>
              </w:rPr>
              <w:t>县退役军人事务</w:t>
            </w:r>
            <w:r>
              <w:rPr>
                <w:rFonts w:hint="eastAsia" w:ascii="仿宋_GB2312" w:hAnsi="仿宋_GB2312" w:eastAsia="仿宋_GB2312" w:cs="仿宋_GB2312"/>
                <w:spacing w:val="13"/>
                <w:lang w:eastAsia="zh-CN"/>
              </w:rPr>
              <w:t>局</w:t>
            </w:r>
            <w:r>
              <w:rPr>
                <w:rFonts w:hint="eastAsia" w:ascii="仿宋_GB2312" w:hAnsi="仿宋_GB2312" w:eastAsia="仿宋_GB2312" w:cs="仿宋_GB2312"/>
                <w:spacing w:val="-4"/>
                <w:lang w:val="en-US" w:eastAsia="zh-CN"/>
              </w:rPr>
              <w:t>要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监督集中供养单位落实集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中供养人员相关待遇</w:t>
            </w:r>
            <w:r>
              <w:rPr>
                <w:rFonts w:hint="eastAsia" w:ascii="仿宋_GB2312" w:hAnsi="仿宋_GB2312" w:eastAsia="仿宋_GB2312" w:cs="仿宋_GB2312"/>
                <w:spacing w:val="-4"/>
                <w:lang w:eastAsia="zh-CN"/>
              </w:rPr>
              <w:t>。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E9C1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451845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0" w:hRule="atLeast"/>
        </w:trPr>
        <w:tc>
          <w:tcPr>
            <w:tcW w:w="600" w:type="dxa"/>
            <w:shd w:val="clear" w:color="auto" w:fill="auto"/>
            <w:vAlign w:val="center"/>
          </w:tcPr>
          <w:p w14:paraId="52B4010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>11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D0935D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7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</w:rPr>
              <w:t>省文</w:t>
            </w:r>
          </w:p>
          <w:p w14:paraId="7902D84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</w:rPr>
              <w:t>旅厅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251D70A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</w:rPr>
              <w:t>互联网上网服</w:t>
            </w:r>
            <w:r>
              <w:rPr>
                <w:rFonts w:hint="eastAsia" w:ascii="仿宋_GB2312" w:hAnsi="仿宋_GB2312" w:eastAsia="仿宋_GB2312" w:cs="仿宋_GB2312"/>
                <w:spacing w:val="9"/>
              </w:rPr>
              <w:t>务营业场所筹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建审批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6345DE6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</w:rPr>
              <w:t>外商、港澳台</w:t>
            </w:r>
            <w:r>
              <w:rPr>
                <w:rFonts w:hint="eastAsia" w:ascii="仿宋_GB2312" w:hAnsi="仿宋_GB2312" w:eastAsia="仿宋_GB2312" w:cs="仿宋_GB2312"/>
                <w:spacing w:val="9"/>
              </w:rPr>
              <w:t>投资互联网上网服务营业场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所筹建审批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775E21D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77EF316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0A462DB8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《互联网上网服务营业场所</w:t>
            </w:r>
            <w:r>
              <w:rPr>
                <w:rFonts w:hint="eastAsia" w:ascii="仿宋_GB2312" w:hAnsi="仿宋_GB2312" w:eastAsia="仿宋_GB2312" w:cs="仿宋_GB2312"/>
                <w:spacing w:val="-15"/>
              </w:rPr>
              <w:t>管理条例》（国务院令第363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号）第四条、第十一条</w:t>
            </w:r>
          </w:p>
          <w:p w14:paraId="6AED989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</w:rPr>
              <w:t>《国务院关于在全国推开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“证照分离”改革的通知》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（国发〔2018〕35号）</w:t>
            </w:r>
          </w:p>
          <w:p w14:paraId="5807E82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7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《文化和旅游部关于进一步优化营商环境推动互联网上</w:t>
            </w:r>
            <w:r>
              <w:rPr>
                <w:rFonts w:hint="eastAsia" w:ascii="仿宋_GB2312" w:hAnsi="仿宋_GB2312" w:eastAsia="仿宋_GB2312" w:cs="仿宋_GB2312"/>
                <w:spacing w:val="16"/>
              </w:rPr>
              <w:t>网服务行业规范发展的通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知》（文旅市场发〔2020〕</w:t>
            </w:r>
            <w:r>
              <w:rPr>
                <w:rFonts w:hint="eastAsia" w:ascii="仿宋_GB2312" w:hAnsi="仿宋_GB2312" w:eastAsia="仿宋_GB2312" w:cs="仿宋_GB2312"/>
              </w:rPr>
              <w:t>86号）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4BA9685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6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委托</w:t>
            </w:r>
          </w:p>
          <w:p w14:paraId="61B9DA5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</w:rPr>
              <w:t>实施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49C8DB8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县行政审批服务管理局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711B8F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县文化和</w:t>
            </w:r>
          </w:p>
          <w:p w14:paraId="0DACE5E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旅游局</w:t>
            </w:r>
          </w:p>
        </w:tc>
        <w:tc>
          <w:tcPr>
            <w:tcW w:w="3270" w:type="dxa"/>
            <w:shd w:val="clear" w:color="auto" w:fill="auto"/>
            <w:vAlign w:val="center"/>
          </w:tcPr>
          <w:p w14:paraId="412ABF80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 w:firstLine="3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pacing w:val="5"/>
              </w:rPr>
              <w:t>县</w:t>
            </w:r>
            <w:r>
              <w:rPr>
                <w:rFonts w:hint="eastAsia" w:ascii="仿宋_GB2312" w:hAnsi="仿宋_GB2312" w:eastAsia="仿宋_GB2312" w:cs="仿宋_GB2312"/>
                <w:spacing w:val="5"/>
                <w:lang w:eastAsia="zh-CN"/>
              </w:rPr>
              <w:t>行政</w:t>
            </w:r>
            <w:r>
              <w:rPr>
                <w:rFonts w:hint="eastAsia" w:ascii="仿宋_GB2312" w:hAnsi="仿宋_GB2312" w:eastAsia="仿宋_GB2312" w:cs="仿宋_GB2312"/>
                <w:spacing w:val="5"/>
              </w:rPr>
              <w:t>审批服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务管理</w:t>
            </w:r>
            <w:r>
              <w:rPr>
                <w:rFonts w:hint="eastAsia" w:ascii="仿宋_GB2312" w:hAnsi="仿宋_GB2312" w:eastAsia="仿宋_GB2312" w:cs="仿宋_GB2312"/>
                <w:spacing w:val="-3"/>
                <w:lang w:eastAsia="zh-CN"/>
              </w:rPr>
              <w:t>局</w:t>
            </w: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要加强与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省</w:t>
            </w:r>
            <w:r>
              <w:rPr>
                <w:rFonts w:hint="eastAsia" w:ascii="仿宋_GB2312" w:hAnsi="仿宋_GB2312" w:eastAsia="仿宋_GB2312" w:cs="仿宋_GB2312"/>
                <w:spacing w:val="-7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>市、县文旅部门</w:t>
            </w: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对接，加强业务指导，开展人员培训，确保落实委托实施到位；</w:t>
            </w:r>
          </w:p>
          <w:p w14:paraId="7DC09D7C">
            <w:pPr>
              <w:pStyle w:val="8"/>
              <w:keepNext w:val="0"/>
              <w:keepLines w:val="0"/>
              <w:pageBreakBefore w:val="0"/>
              <w:widowControl w:val="0"/>
              <w:tabs>
                <w:tab w:val="left" w:pos="10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 w:firstLine="41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1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pacing w:val="13"/>
              </w:rPr>
              <w:t>县</w:t>
            </w:r>
            <w:r>
              <w:rPr>
                <w:rFonts w:hint="eastAsia" w:ascii="仿宋_GB2312" w:hAnsi="仿宋_GB2312" w:eastAsia="仿宋_GB2312" w:cs="仿宋_GB2312"/>
                <w:spacing w:val="13"/>
                <w:lang w:val="en-US" w:eastAsia="zh-CN"/>
              </w:rPr>
              <w:t>文化</w:t>
            </w: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和旅游局要实施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“双随机、一公开”监管、重点监管</w:t>
            </w:r>
            <w:r>
              <w:rPr>
                <w:rFonts w:hint="eastAsia" w:ascii="仿宋_GB2312" w:hAnsi="仿宋_GB2312" w:eastAsia="仿宋_GB2312" w:cs="仿宋_GB2312"/>
                <w:spacing w:val="-7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>信用监管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等方式</w:t>
            </w:r>
            <w:r>
              <w:rPr>
                <w:rFonts w:hint="eastAsia" w:ascii="仿宋_GB2312" w:hAnsi="仿宋_GB2312" w:eastAsia="仿宋_GB2312" w:cs="仿宋_GB2312"/>
                <w:spacing w:val="-7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加</w:t>
            </w:r>
            <w:r>
              <w:rPr>
                <w:rFonts w:hint="eastAsia" w:ascii="仿宋_GB2312" w:hAnsi="仿宋_GB2312" w:eastAsia="仿宋_GB2312" w:cs="仿宋_GB2312"/>
                <w:spacing w:val="-8"/>
              </w:rPr>
              <w:t>强</w:t>
            </w:r>
            <w:r>
              <w:rPr>
                <w:rFonts w:hint="eastAsia" w:ascii="仿宋_GB2312" w:hAnsi="仿宋_GB2312" w:eastAsia="仿宋_GB2312" w:cs="仿宋_GB2312"/>
                <w:spacing w:val="-8"/>
                <w:lang w:val="en-US" w:eastAsia="zh-CN"/>
              </w:rPr>
              <w:t>日常</w:t>
            </w:r>
            <w:r>
              <w:rPr>
                <w:rFonts w:hint="eastAsia" w:ascii="仿宋_GB2312" w:hAnsi="仿宋_GB2312" w:eastAsia="仿宋_GB2312" w:cs="仿宋_GB2312"/>
                <w:spacing w:val="-8"/>
              </w:rPr>
              <w:t>监管</w:t>
            </w:r>
            <w:r>
              <w:rPr>
                <w:rFonts w:hint="eastAsia" w:ascii="仿宋_GB2312" w:hAnsi="仿宋_GB2312" w:eastAsia="仿宋_GB2312" w:cs="仿宋_GB2312"/>
                <w:spacing w:val="-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-8"/>
                <w:lang w:val="en-US" w:eastAsia="zh-CN"/>
              </w:rPr>
              <w:t>确保监管到位</w:t>
            </w:r>
            <w:r>
              <w:rPr>
                <w:rFonts w:hint="eastAsia" w:ascii="仿宋_GB2312" w:hAnsi="仿宋_GB2312" w:eastAsia="仿宋_GB2312" w:cs="仿宋_GB2312"/>
                <w:spacing w:val="-1"/>
                <w:lang w:eastAsia="zh-CN"/>
              </w:rPr>
              <w:t>。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0376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02E924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6" w:hRule="atLeast"/>
        </w:trPr>
        <w:tc>
          <w:tcPr>
            <w:tcW w:w="600" w:type="dxa"/>
            <w:shd w:val="clear" w:color="auto" w:fill="auto"/>
            <w:vAlign w:val="center"/>
          </w:tcPr>
          <w:p w14:paraId="15331E0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>12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775065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省文</w:t>
            </w:r>
          </w:p>
          <w:p w14:paraId="1978F72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旅厅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6A5B987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</w:rPr>
              <w:t>互联网上网服</w:t>
            </w:r>
            <w:r>
              <w:rPr>
                <w:rFonts w:hint="eastAsia" w:ascii="仿宋_GB2312" w:hAnsi="仿宋_GB2312" w:eastAsia="仿宋_GB2312" w:cs="仿宋_GB2312"/>
                <w:spacing w:val="9"/>
              </w:rPr>
              <w:t>务经营活动审</w:t>
            </w:r>
            <w:r>
              <w:rPr>
                <w:rFonts w:hint="eastAsia" w:ascii="仿宋_GB2312" w:hAnsi="仿宋_GB2312" w:eastAsia="仿宋_GB2312" w:cs="仿宋_GB2312"/>
              </w:rPr>
              <w:t>批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FD2F3C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</w:rPr>
              <w:t>外商、港澳台</w:t>
            </w:r>
            <w:r>
              <w:rPr>
                <w:rFonts w:hint="eastAsia" w:ascii="仿宋_GB2312" w:hAnsi="仿宋_GB2312" w:eastAsia="仿宋_GB2312" w:cs="仿宋_GB2312"/>
                <w:spacing w:val="9"/>
              </w:rPr>
              <w:t>投资互联网上网服务经营活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动审批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783FFB0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2344A540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20411F6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《互联网上网服务营业场所</w:t>
            </w:r>
            <w:r>
              <w:rPr>
                <w:rFonts w:hint="eastAsia" w:ascii="仿宋_GB2312" w:hAnsi="仿宋_GB2312" w:eastAsia="仿宋_GB2312" w:cs="仿宋_GB2312"/>
                <w:spacing w:val="-15"/>
              </w:rPr>
              <w:t>管理条例》（国务院令第363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号）第四条、第十条、第十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三条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18E6D0D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6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委托</w:t>
            </w:r>
          </w:p>
          <w:p w14:paraId="03D18F8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实施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5463503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县行政审批服务管理局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48F358F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县文化和</w:t>
            </w:r>
          </w:p>
          <w:p w14:paraId="3570F15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旅游局</w:t>
            </w:r>
          </w:p>
        </w:tc>
        <w:tc>
          <w:tcPr>
            <w:tcW w:w="3270" w:type="dxa"/>
            <w:shd w:val="clear" w:color="auto" w:fill="auto"/>
            <w:vAlign w:val="center"/>
          </w:tcPr>
          <w:p w14:paraId="00C24D6D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 w:firstLine="3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pacing w:val="5"/>
              </w:rPr>
              <w:t>县</w:t>
            </w:r>
            <w:r>
              <w:rPr>
                <w:rFonts w:hint="eastAsia" w:ascii="仿宋_GB2312" w:hAnsi="仿宋_GB2312" w:eastAsia="仿宋_GB2312" w:cs="仿宋_GB2312"/>
                <w:spacing w:val="5"/>
                <w:lang w:eastAsia="zh-CN"/>
              </w:rPr>
              <w:t>行政</w:t>
            </w:r>
            <w:r>
              <w:rPr>
                <w:rFonts w:hint="eastAsia" w:ascii="仿宋_GB2312" w:hAnsi="仿宋_GB2312" w:eastAsia="仿宋_GB2312" w:cs="仿宋_GB2312"/>
                <w:spacing w:val="5"/>
              </w:rPr>
              <w:t>审批服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务管理</w:t>
            </w:r>
            <w:r>
              <w:rPr>
                <w:rFonts w:hint="eastAsia" w:ascii="仿宋_GB2312" w:hAnsi="仿宋_GB2312" w:eastAsia="仿宋_GB2312" w:cs="仿宋_GB2312"/>
                <w:spacing w:val="-3"/>
                <w:lang w:eastAsia="zh-CN"/>
              </w:rPr>
              <w:t>局</w:t>
            </w: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要加强与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省</w:t>
            </w:r>
            <w:r>
              <w:rPr>
                <w:rFonts w:hint="eastAsia" w:ascii="仿宋_GB2312" w:hAnsi="仿宋_GB2312" w:eastAsia="仿宋_GB2312" w:cs="仿宋_GB2312"/>
                <w:spacing w:val="-7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>市、县文旅部门</w:t>
            </w: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对接，加强业务指导，开展人员培训，确保落实委托实施到位；</w:t>
            </w:r>
          </w:p>
          <w:p w14:paraId="6F9EB3E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firstLine="35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lang w:val="en-US" w:eastAsia="zh-CN"/>
              </w:rPr>
              <w:t>2.县文化和旅游局要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加强日常督导检查。及时查处违法违规</w:t>
            </w:r>
            <w:r>
              <w:rPr>
                <w:rFonts w:hint="eastAsia" w:ascii="仿宋_GB2312" w:hAnsi="仿宋_GB2312" w:eastAsia="仿宋_GB2312" w:cs="仿宋_GB2312"/>
                <w:spacing w:val="-2"/>
                <w:lang w:val="en-US" w:eastAsia="zh-CN"/>
              </w:rPr>
              <w:t>及不达标的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行为</w:t>
            </w: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-2"/>
                <w:lang w:val="en-US" w:eastAsia="zh-CN"/>
              </w:rPr>
              <w:t>确保监管到位。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C36A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 w14:paraId="1E94F9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0"/>
        <w:rPr>
          <w:rFonts w:hint="eastAsia" w:ascii="黑体" w:hAnsi="黑体" w:eastAsia="黑体" w:cs="黑体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  <w:r>
        <w:rPr>
          <w:rFonts w:hint="eastAsia" w:ascii="黑体" w:hAnsi="黑体" w:eastAsia="黑体" w:cs="黑体"/>
          <w:spacing w:val="-60"/>
          <w:sz w:val="31"/>
          <w:szCs w:val="31"/>
          <w:lang w:val="en-US" w:eastAsia="zh-CN"/>
        </w:rPr>
        <w:t>2</w:t>
      </w:r>
    </w:p>
    <w:p w14:paraId="7CACB5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 w14:paraId="7DE16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县政府承接省政府决定审批改为备案的行政审批事项清单（共1项）</w:t>
      </w:r>
    </w:p>
    <w:p w14:paraId="63BEEF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 w14:paraId="66311B2C">
      <w:pPr>
        <w:spacing w:line="157" w:lineRule="exact"/>
      </w:pPr>
    </w:p>
    <w:tbl>
      <w:tblPr>
        <w:tblStyle w:val="7"/>
        <w:tblW w:w="13065" w:type="dxa"/>
        <w:tblInd w:w="2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915"/>
        <w:gridCol w:w="1065"/>
        <w:gridCol w:w="645"/>
        <w:gridCol w:w="717"/>
        <w:gridCol w:w="3853"/>
        <w:gridCol w:w="624"/>
        <w:gridCol w:w="624"/>
        <w:gridCol w:w="624"/>
        <w:gridCol w:w="2204"/>
        <w:gridCol w:w="1179"/>
      </w:tblGrid>
      <w:tr w14:paraId="0A0BD8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615" w:type="dxa"/>
            <w:vMerge w:val="restart"/>
            <w:tcBorders>
              <w:bottom w:val="nil"/>
            </w:tcBorders>
            <w:textDirection w:val="tbRlV"/>
            <w:vAlign w:val="center"/>
          </w:tcPr>
          <w:p w14:paraId="18E869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1"/>
                <w:sz w:val="18"/>
                <w:szCs w:val="18"/>
              </w:rPr>
              <w:t>序号</w:t>
            </w:r>
          </w:p>
        </w:tc>
        <w:tc>
          <w:tcPr>
            <w:tcW w:w="915" w:type="dxa"/>
            <w:vMerge w:val="restart"/>
            <w:tcBorders>
              <w:bottom w:val="nil"/>
            </w:tcBorders>
            <w:vAlign w:val="center"/>
          </w:tcPr>
          <w:p w14:paraId="11034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现实</w:t>
            </w:r>
          </w:p>
          <w:p w14:paraId="517C54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施部</w:t>
            </w: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门</w:t>
            </w:r>
          </w:p>
        </w:tc>
        <w:tc>
          <w:tcPr>
            <w:tcW w:w="1710" w:type="dxa"/>
            <w:gridSpan w:val="2"/>
            <w:vAlign w:val="center"/>
          </w:tcPr>
          <w:p w14:paraId="7464C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717" w:type="dxa"/>
            <w:vMerge w:val="restart"/>
            <w:tcBorders>
              <w:bottom w:val="nil"/>
            </w:tcBorders>
            <w:vAlign w:val="center"/>
          </w:tcPr>
          <w:p w14:paraId="3419D4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hanging="6"/>
              <w:jc w:val="center"/>
              <w:textAlignment w:val="auto"/>
              <w:rPr>
                <w:rFonts w:ascii="黑体" w:hAnsi="黑体" w:eastAsia="黑体" w:cs="黑体"/>
                <w:spacing w:val="-4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4"/>
                <w:sz w:val="18"/>
                <w:szCs w:val="18"/>
              </w:rPr>
              <w:t>职权</w:t>
            </w:r>
          </w:p>
          <w:p w14:paraId="5E0FB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hanging="6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类型</w:t>
            </w:r>
          </w:p>
        </w:tc>
        <w:tc>
          <w:tcPr>
            <w:tcW w:w="3853" w:type="dxa"/>
            <w:vMerge w:val="restart"/>
            <w:tcBorders>
              <w:bottom w:val="nil"/>
            </w:tcBorders>
            <w:vAlign w:val="center"/>
          </w:tcPr>
          <w:p w14:paraId="372867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设定依据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vAlign w:val="center"/>
          </w:tcPr>
          <w:p w14:paraId="3C8281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firstLine="2"/>
              <w:jc w:val="center"/>
              <w:textAlignment w:val="auto"/>
              <w:rPr>
                <w:rFonts w:ascii="黑体" w:hAnsi="黑体" w:eastAsia="黑体" w:cs="黑体"/>
                <w:spacing w:val="-8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8"/>
                <w:sz w:val="18"/>
                <w:szCs w:val="18"/>
              </w:rPr>
              <w:t>改革</w:t>
            </w:r>
          </w:p>
          <w:p w14:paraId="7C150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firstLine="2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意见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vAlign w:val="center"/>
          </w:tcPr>
          <w:p w14:paraId="1589A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黑体" w:hAnsi="黑体" w:eastAsia="黑体" w:cs="黑体"/>
                <w:spacing w:val="-5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承接</w:t>
            </w:r>
          </w:p>
          <w:p w14:paraId="1B870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vAlign w:val="center"/>
          </w:tcPr>
          <w:p w14:paraId="301AC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黑体" w:hAnsi="黑体" w:eastAsia="黑体" w:cs="黑体"/>
                <w:spacing w:val="-5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监管</w:t>
            </w:r>
          </w:p>
          <w:p w14:paraId="67293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部门</w:t>
            </w:r>
          </w:p>
        </w:tc>
        <w:tc>
          <w:tcPr>
            <w:tcW w:w="2204" w:type="dxa"/>
            <w:vMerge w:val="restart"/>
            <w:tcBorders>
              <w:bottom w:val="nil"/>
            </w:tcBorders>
            <w:vAlign w:val="center"/>
          </w:tcPr>
          <w:p w14:paraId="355C6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hanging="90"/>
              <w:jc w:val="center"/>
              <w:textAlignment w:val="auto"/>
              <w:rPr>
                <w:rFonts w:ascii="黑体" w:hAnsi="黑体" w:eastAsia="黑体" w:cs="黑体"/>
                <w:spacing w:val="-3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工作衔接和事中</w:t>
            </w:r>
          </w:p>
          <w:p w14:paraId="0A66F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hanging="9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3"/>
                <w:sz w:val="18"/>
                <w:szCs w:val="18"/>
              </w:rPr>
              <w:t>事后监管措施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center"/>
          </w:tcPr>
          <w:p w14:paraId="6509F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5"/>
                <w:sz w:val="18"/>
                <w:szCs w:val="18"/>
              </w:rPr>
              <w:t>备注</w:t>
            </w:r>
          </w:p>
        </w:tc>
      </w:tr>
      <w:tr w14:paraId="53E7CE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615" w:type="dxa"/>
            <w:vMerge w:val="continue"/>
            <w:tcBorders>
              <w:top w:val="nil"/>
            </w:tcBorders>
            <w:textDirection w:val="tbRlV"/>
            <w:vAlign w:val="center"/>
          </w:tcPr>
          <w:p w14:paraId="59DEB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915" w:type="dxa"/>
            <w:vMerge w:val="continue"/>
            <w:tcBorders>
              <w:top w:val="nil"/>
            </w:tcBorders>
            <w:vAlign w:val="center"/>
          </w:tcPr>
          <w:p w14:paraId="30FAC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065" w:type="dxa"/>
            <w:vAlign w:val="center"/>
          </w:tcPr>
          <w:p w14:paraId="74EC0D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9"/>
                <w:sz w:val="18"/>
                <w:szCs w:val="18"/>
              </w:rPr>
              <w:t>主项</w:t>
            </w:r>
          </w:p>
        </w:tc>
        <w:tc>
          <w:tcPr>
            <w:tcW w:w="645" w:type="dxa"/>
            <w:vAlign w:val="center"/>
          </w:tcPr>
          <w:p w14:paraId="0C949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-6"/>
                <w:sz w:val="18"/>
                <w:szCs w:val="18"/>
              </w:rPr>
              <w:t>子项</w:t>
            </w:r>
          </w:p>
        </w:tc>
        <w:tc>
          <w:tcPr>
            <w:tcW w:w="717" w:type="dxa"/>
            <w:vMerge w:val="continue"/>
            <w:tcBorders>
              <w:top w:val="nil"/>
            </w:tcBorders>
            <w:vAlign w:val="center"/>
          </w:tcPr>
          <w:p w14:paraId="66BCC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3853" w:type="dxa"/>
            <w:vMerge w:val="continue"/>
            <w:tcBorders>
              <w:top w:val="nil"/>
            </w:tcBorders>
            <w:vAlign w:val="center"/>
          </w:tcPr>
          <w:p w14:paraId="0E247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624" w:type="dxa"/>
            <w:vMerge w:val="continue"/>
            <w:tcBorders>
              <w:top w:val="nil"/>
            </w:tcBorders>
            <w:vAlign w:val="center"/>
          </w:tcPr>
          <w:p w14:paraId="042C2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624" w:type="dxa"/>
            <w:vMerge w:val="continue"/>
            <w:tcBorders>
              <w:top w:val="nil"/>
            </w:tcBorders>
            <w:vAlign w:val="center"/>
          </w:tcPr>
          <w:p w14:paraId="64AF9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624" w:type="dxa"/>
            <w:vMerge w:val="continue"/>
            <w:tcBorders>
              <w:top w:val="nil"/>
            </w:tcBorders>
            <w:vAlign w:val="center"/>
          </w:tcPr>
          <w:p w14:paraId="58A0E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2204" w:type="dxa"/>
            <w:vMerge w:val="continue"/>
            <w:tcBorders>
              <w:top w:val="nil"/>
            </w:tcBorders>
            <w:vAlign w:val="center"/>
          </w:tcPr>
          <w:p w14:paraId="1AC41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center"/>
          </w:tcPr>
          <w:p w14:paraId="45C6D0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 w14:paraId="620715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9" w:hRule="atLeast"/>
        </w:trPr>
        <w:tc>
          <w:tcPr>
            <w:tcW w:w="615" w:type="dxa"/>
            <w:vAlign w:val="center"/>
          </w:tcPr>
          <w:p w14:paraId="7E2845B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</w:t>
            </w:r>
          </w:p>
        </w:tc>
        <w:tc>
          <w:tcPr>
            <w:tcW w:w="915" w:type="dxa"/>
            <w:vAlign w:val="center"/>
          </w:tcPr>
          <w:p w14:paraId="0A01F92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</w:rPr>
              <w:t>省交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通厅</w:t>
            </w:r>
          </w:p>
        </w:tc>
        <w:tc>
          <w:tcPr>
            <w:tcW w:w="1065" w:type="dxa"/>
            <w:vAlign w:val="center"/>
          </w:tcPr>
          <w:p w14:paraId="428F1336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lang w:eastAsia="zh-CN"/>
              </w:rPr>
              <w:t>小</w:t>
            </w:r>
            <w:r>
              <w:rPr>
                <w:rFonts w:hint="eastAsia" w:ascii="仿宋_GB2312" w:hAnsi="仿宋_GB2312" w:eastAsia="仿宋_GB2312" w:cs="仿宋_GB2312"/>
                <w:spacing w:val="5"/>
              </w:rPr>
              <w:t>微型</w:t>
            </w:r>
            <w:r>
              <w:rPr>
                <w:rFonts w:hint="eastAsia" w:ascii="仿宋_GB2312" w:hAnsi="仿宋_GB2312" w:eastAsia="仿宋_GB2312" w:cs="仿宋_GB2312"/>
                <w:spacing w:val="6"/>
              </w:rPr>
              <w:t>客车租赁经营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备案</w:t>
            </w:r>
          </w:p>
        </w:tc>
        <w:tc>
          <w:tcPr>
            <w:tcW w:w="645" w:type="dxa"/>
            <w:vAlign w:val="center"/>
          </w:tcPr>
          <w:p w14:paraId="4339D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717" w:type="dxa"/>
            <w:vAlign w:val="center"/>
          </w:tcPr>
          <w:p w14:paraId="7FC63B74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02A29B0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</w:rPr>
              <w:t>备案</w:t>
            </w:r>
          </w:p>
        </w:tc>
        <w:tc>
          <w:tcPr>
            <w:tcW w:w="3853" w:type="dxa"/>
            <w:vAlign w:val="center"/>
          </w:tcPr>
          <w:p w14:paraId="77E2759E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</w:rPr>
              <w:t>《小微型客车租赁经营服务管理办法》（交通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运输部令2020年第22号）第六条至第九条</w:t>
            </w:r>
          </w:p>
          <w:p w14:paraId="4EFF9A6F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《山西省道路运输条例》第二十条</w:t>
            </w:r>
          </w:p>
        </w:tc>
        <w:tc>
          <w:tcPr>
            <w:tcW w:w="624" w:type="dxa"/>
            <w:vAlign w:val="center"/>
          </w:tcPr>
          <w:p w14:paraId="0EBF1BD2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</w:rPr>
              <w:t>审批</w:t>
            </w:r>
            <w:r>
              <w:rPr>
                <w:rFonts w:hint="eastAsia" w:ascii="仿宋_GB2312" w:hAnsi="仿宋_GB2312" w:eastAsia="仿宋_GB2312" w:cs="仿宋_GB2312"/>
                <w:spacing w:val="-5"/>
              </w:rPr>
              <w:t>改为备案</w:t>
            </w:r>
          </w:p>
        </w:tc>
        <w:tc>
          <w:tcPr>
            <w:tcW w:w="624" w:type="dxa"/>
            <w:vAlign w:val="center"/>
          </w:tcPr>
          <w:p w14:paraId="3683F57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县行政审批服务管理局</w:t>
            </w:r>
          </w:p>
        </w:tc>
        <w:tc>
          <w:tcPr>
            <w:tcW w:w="624" w:type="dxa"/>
            <w:vAlign w:val="center"/>
          </w:tcPr>
          <w:p w14:paraId="1790984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县交通运输局</w:t>
            </w:r>
          </w:p>
        </w:tc>
        <w:tc>
          <w:tcPr>
            <w:tcW w:w="2204" w:type="dxa"/>
            <w:vAlign w:val="center"/>
          </w:tcPr>
          <w:p w14:paraId="0809F2B5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"/>
                <w:lang w:val="en-US" w:eastAsia="zh-CN"/>
              </w:rPr>
            </w:pPr>
          </w:p>
          <w:p w14:paraId="5D2270B5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rightChars="0" w:firstLine="35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lang w:val="en-US" w:eastAsia="zh-CN"/>
              </w:rPr>
              <w:t>1.县行政审批服务管理局</w:t>
            </w: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要加强与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省</w:t>
            </w: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>交通厅</w:t>
            </w: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对接，加强业务指导，开展人员培训，确保审批改备案衔接到位；</w:t>
            </w:r>
          </w:p>
          <w:p w14:paraId="2FB7E2FB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 w:firstLine="35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lang w:val="en-US" w:eastAsia="zh-CN"/>
              </w:rPr>
              <w:t>2.县交通运输局要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加强日常督导检查</w:t>
            </w: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及时查处违法违规行为</w:t>
            </w:r>
            <w:r>
              <w:rPr>
                <w:rFonts w:hint="eastAsia" w:ascii="仿宋_GB2312" w:hAnsi="仿宋_GB2312" w:eastAsia="仿宋_GB2312" w:cs="仿宋_GB2312"/>
                <w:spacing w:val="-2"/>
                <w:lang w:eastAsia="zh-CN"/>
              </w:rPr>
              <w:t>。</w:t>
            </w:r>
          </w:p>
        </w:tc>
        <w:tc>
          <w:tcPr>
            <w:tcW w:w="1179" w:type="dxa"/>
            <w:vAlign w:val="center"/>
          </w:tcPr>
          <w:p w14:paraId="791D87C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原事项名称：</w:t>
            </w:r>
          </w:p>
          <w:p w14:paraId="10104F67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汽车租赁经营许可</w:t>
            </w:r>
          </w:p>
        </w:tc>
      </w:tr>
    </w:tbl>
    <w:p w14:paraId="67F217A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pos="318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14C61C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pos="318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4AD51B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pos="318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5006127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pos="318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B397EC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pos="318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C40A9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0"/>
        <w:rPr>
          <w:rFonts w:hint="eastAsia" w:ascii="黑体" w:hAnsi="黑体" w:eastAsia="黑体" w:cs="黑体"/>
          <w:spacing w:val="-6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spacing w:val="-6"/>
          <w:sz w:val="31"/>
          <w:szCs w:val="31"/>
          <w:lang w:val="en-US" w:eastAsia="zh-CN"/>
        </w:rPr>
        <w:t>附件3</w:t>
      </w:r>
    </w:p>
    <w:p w14:paraId="4C4E20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outlineLvl w:val="0"/>
        <w:rPr>
          <w:rFonts w:hint="eastAsia" w:ascii="黑体" w:hAnsi="黑体" w:eastAsia="黑体" w:cs="黑体"/>
          <w:spacing w:val="-6"/>
          <w:sz w:val="31"/>
          <w:szCs w:val="31"/>
          <w:lang w:val="en-US" w:eastAsia="zh-CN"/>
        </w:rPr>
      </w:pPr>
    </w:p>
    <w:p w14:paraId="307FB47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pos="318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县政府落实省政府决定下放或委托至市级实施的行政审批事项清单（共7项）</w:t>
      </w:r>
    </w:p>
    <w:p w14:paraId="65F8381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pos="318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tbl>
      <w:tblPr>
        <w:tblStyle w:val="7"/>
        <w:tblW w:w="1306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3"/>
        <w:gridCol w:w="720"/>
        <w:gridCol w:w="1080"/>
        <w:gridCol w:w="1210"/>
        <w:gridCol w:w="735"/>
        <w:gridCol w:w="2380"/>
        <w:gridCol w:w="680"/>
        <w:gridCol w:w="1190"/>
        <w:gridCol w:w="1191"/>
        <w:gridCol w:w="2443"/>
        <w:gridCol w:w="825"/>
      </w:tblGrid>
      <w:tr w14:paraId="30B165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613" w:type="dxa"/>
            <w:vMerge w:val="restart"/>
            <w:tcBorders>
              <w:bottom w:val="nil"/>
            </w:tcBorders>
            <w:textDirection w:val="tbRlV"/>
            <w:vAlign w:val="top"/>
          </w:tcPr>
          <w:p w14:paraId="17A35846">
            <w:pPr>
              <w:spacing w:before="114" w:line="206" w:lineRule="auto"/>
              <w:ind w:left="333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1"/>
                <w:sz w:val="18"/>
                <w:szCs w:val="18"/>
              </w:rPr>
              <w:t>序号</w:t>
            </w:r>
          </w:p>
        </w:tc>
        <w:tc>
          <w:tcPr>
            <w:tcW w:w="720" w:type="dxa"/>
            <w:vMerge w:val="restart"/>
            <w:tcBorders>
              <w:bottom w:val="nil"/>
            </w:tcBorders>
            <w:vAlign w:val="top"/>
          </w:tcPr>
          <w:p w14:paraId="2DC958EF">
            <w:pPr>
              <w:spacing w:before="194" w:line="218" w:lineRule="auto"/>
              <w:ind w:left="142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5"/>
                <w:sz w:val="18"/>
                <w:szCs w:val="18"/>
              </w:rPr>
              <w:t>现实</w:t>
            </w:r>
          </w:p>
          <w:p w14:paraId="514401FD">
            <w:pPr>
              <w:spacing w:before="68" w:line="219" w:lineRule="auto"/>
              <w:ind w:left="140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4"/>
                <w:sz w:val="18"/>
                <w:szCs w:val="18"/>
              </w:rPr>
              <w:t>施部</w:t>
            </w:r>
          </w:p>
          <w:p w14:paraId="7531EB34">
            <w:pPr>
              <w:spacing w:before="64" w:line="224" w:lineRule="auto"/>
              <w:ind w:left="244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门</w:t>
            </w:r>
          </w:p>
        </w:tc>
        <w:tc>
          <w:tcPr>
            <w:tcW w:w="2290" w:type="dxa"/>
            <w:gridSpan w:val="2"/>
            <w:vAlign w:val="top"/>
          </w:tcPr>
          <w:p w14:paraId="08F45DCA">
            <w:pPr>
              <w:spacing w:before="208" w:line="218" w:lineRule="auto"/>
              <w:ind w:left="8" w:leftChars="0" w:hanging="8" w:firstLineChars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3"/>
                <w:sz w:val="18"/>
                <w:szCs w:val="18"/>
              </w:rPr>
              <w:t>事项名称</w:t>
            </w:r>
          </w:p>
        </w:tc>
        <w:tc>
          <w:tcPr>
            <w:tcW w:w="735" w:type="dxa"/>
            <w:vMerge w:val="restart"/>
            <w:tcBorders>
              <w:bottom w:val="nil"/>
            </w:tcBorders>
            <w:vAlign w:val="top"/>
          </w:tcPr>
          <w:p w14:paraId="6387DB59">
            <w:pPr>
              <w:spacing w:line="273" w:lineRule="auto"/>
              <w:rPr>
                <w:rFonts w:hint="eastAsia" w:ascii="黑体" w:hAnsi="黑体" w:eastAsia="黑体" w:cs="黑体"/>
                <w:sz w:val="21"/>
              </w:rPr>
            </w:pPr>
          </w:p>
          <w:p w14:paraId="428B3B66">
            <w:pPr>
              <w:spacing w:before="59" w:line="274" w:lineRule="auto"/>
              <w:ind w:left="198" w:right="185" w:hanging="6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4"/>
                <w:sz w:val="18"/>
                <w:szCs w:val="18"/>
              </w:rPr>
              <w:t>职权</w:t>
            </w:r>
            <w:r>
              <w:rPr>
                <w:rFonts w:hint="eastAsia" w:ascii="黑体" w:hAnsi="黑体" w:eastAsia="黑体" w:cs="黑体"/>
                <w:spacing w:val="-8"/>
                <w:sz w:val="18"/>
                <w:szCs w:val="18"/>
              </w:rPr>
              <w:t>类型</w:t>
            </w:r>
          </w:p>
        </w:tc>
        <w:tc>
          <w:tcPr>
            <w:tcW w:w="2380" w:type="dxa"/>
            <w:vMerge w:val="restart"/>
            <w:tcBorders>
              <w:bottom w:val="nil"/>
            </w:tcBorders>
            <w:vAlign w:val="top"/>
          </w:tcPr>
          <w:p w14:paraId="69C145AC">
            <w:pPr>
              <w:spacing w:line="413" w:lineRule="auto"/>
              <w:rPr>
                <w:rFonts w:hint="eastAsia" w:ascii="黑体" w:hAnsi="黑体" w:eastAsia="黑体" w:cs="黑体"/>
                <w:sz w:val="21"/>
              </w:rPr>
            </w:pPr>
          </w:p>
          <w:p w14:paraId="48FFCE61">
            <w:pPr>
              <w:spacing w:before="59" w:line="218" w:lineRule="auto"/>
              <w:ind w:left="836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3"/>
                <w:sz w:val="18"/>
                <w:szCs w:val="18"/>
              </w:rPr>
              <w:t>设定依据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 w14:paraId="332C0A38">
            <w:pPr>
              <w:spacing w:line="273" w:lineRule="auto"/>
              <w:rPr>
                <w:rFonts w:hint="eastAsia" w:ascii="黑体" w:hAnsi="黑体" w:eastAsia="黑体" w:cs="黑体"/>
                <w:sz w:val="21"/>
              </w:rPr>
            </w:pPr>
          </w:p>
          <w:p w14:paraId="17FB6597">
            <w:pPr>
              <w:spacing w:before="59" w:line="274" w:lineRule="auto"/>
              <w:ind w:left="170" w:right="156" w:firstLine="2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8"/>
                <w:sz w:val="18"/>
                <w:szCs w:val="18"/>
              </w:rPr>
              <w:t>改革</w:t>
            </w:r>
            <w:r>
              <w:rPr>
                <w:rFonts w:hint="eastAsia" w:ascii="黑体" w:hAnsi="黑体" w:eastAsia="黑体" w:cs="黑体"/>
                <w:spacing w:val="-6"/>
                <w:sz w:val="18"/>
                <w:szCs w:val="18"/>
              </w:rPr>
              <w:t>意见</w:t>
            </w:r>
          </w:p>
        </w:tc>
        <w:tc>
          <w:tcPr>
            <w:tcW w:w="1190" w:type="dxa"/>
            <w:vMerge w:val="restart"/>
            <w:tcBorders>
              <w:bottom w:val="nil"/>
            </w:tcBorders>
            <w:vAlign w:val="top"/>
          </w:tcPr>
          <w:p w14:paraId="501B8E31">
            <w:pPr>
              <w:spacing w:line="273" w:lineRule="auto"/>
              <w:rPr>
                <w:rFonts w:hint="eastAsia" w:ascii="黑体" w:hAnsi="黑体" w:eastAsia="黑体" w:cs="黑体"/>
                <w:sz w:val="21"/>
              </w:rPr>
            </w:pPr>
          </w:p>
          <w:p w14:paraId="2534EA40">
            <w:pPr>
              <w:spacing w:before="59" w:line="275" w:lineRule="auto"/>
              <w:ind w:left="420" w:right="413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5"/>
                <w:sz w:val="18"/>
                <w:szCs w:val="18"/>
              </w:rPr>
              <w:t>承接部门</w:t>
            </w:r>
          </w:p>
        </w:tc>
        <w:tc>
          <w:tcPr>
            <w:tcW w:w="1191" w:type="dxa"/>
            <w:vMerge w:val="restart"/>
            <w:tcBorders>
              <w:bottom w:val="nil"/>
            </w:tcBorders>
            <w:vAlign w:val="top"/>
          </w:tcPr>
          <w:p w14:paraId="7D1C3F6F">
            <w:pPr>
              <w:spacing w:line="273" w:lineRule="auto"/>
              <w:rPr>
                <w:rFonts w:hint="eastAsia" w:ascii="黑体" w:hAnsi="黑体" w:eastAsia="黑体" w:cs="黑体"/>
                <w:sz w:val="21"/>
              </w:rPr>
            </w:pPr>
          </w:p>
          <w:p w14:paraId="381BA84D">
            <w:pPr>
              <w:spacing w:before="59" w:line="275" w:lineRule="auto"/>
              <w:ind w:left="423" w:right="411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5"/>
                <w:sz w:val="18"/>
                <w:szCs w:val="18"/>
              </w:rPr>
              <w:t>监管部门</w:t>
            </w:r>
          </w:p>
        </w:tc>
        <w:tc>
          <w:tcPr>
            <w:tcW w:w="2443" w:type="dxa"/>
            <w:vMerge w:val="restart"/>
            <w:tcBorders>
              <w:bottom w:val="nil"/>
            </w:tcBorders>
            <w:vAlign w:val="center"/>
          </w:tcPr>
          <w:p w14:paraId="116A0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1" w:leftChars="0" w:right="0" w:rightChars="0" w:hanging="11" w:firstLineChars="0"/>
              <w:jc w:val="center"/>
              <w:textAlignment w:val="auto"/>
              <w:rPr>
                <w:rFonts w:hint="eastAsia" w:ascii="黑体" w:hAnsi="黑体" w:eastAsia="黑体" w:cs="黑体"/>
                <w:spacing w:val="-3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3"/>
                <w:sz w:val="18"/>
                <w:szCs w:val="18"/>
              </w:rPr>
              <w:t>工作衔接和事</w:t>
            </w:r>
          </w:p>
          <w:p w14:paraId="56BCD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11" w:leftChars="0" w:right="0" w:rightChars="0" w:hanging="11" w:firstLineChars="0"/>
              <w:jc w:val="center"/>
              <w:textAlignment w:val="auto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3"/>
                <w:sz w:val="18"/>
                <w:szCs w:val="18"/>
              </w:rPr>
              <w:t>中事后监管措施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 w14:paraId="56573E03">
            <w:pPr>
              <w:spacing w:line="413" w:lineRule="auto"/>
              <w:rPr>
                <w:rFonts w:hint="eastAsia" w:ascii="黑体" w:hAnsi="黑体" w:eastAsia="黑体" w:cs="黑体"/>
                <w:sz w:val="21"/>
              </w:rPr>
            </w:pPr>
          </w:p>
          <w:p w14:paraId="4B8341F2">
            <w:pPr>
              <w:spacing w:before="59" w:line="218" w:lineRule="auto"/>
              <w:ind w:left="210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pacing w:val="-5"/>
                <w:sz w:val="18"/>
                <w:szCs w:val="18"/>
              </w:rPr>
              <w:t>备注</w:t>
            </w:r>
          </w:p>
        </w:tc>
      </w:tr>
      <w:tr w14:paraId="620605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13" w:type="dxa"/>
            <w:vMerge w:val="continue"/>
            <w:tcBorders>
              <w:top w:val="nil"/>
            </w:tcBorders>
            <w:textDirection w:val="tbRlV"/>
            <w:vAlign w:val="top"/>
          </w:tcPr>
          <w:p w14:paraId="2C12052C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vAlign w:val="top"/>
          </w:tcPr>
          <w:p w14:paraId="0C2172A7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080" w:type="dxa"/>
            <w:vAlign w:val="top"/>
          </w:tcPr>
          <w:p w14:paraId="5BDD1D8D">
            <w:pPr>
              <w:spacing w:before="157" w:line="226" w:lineRule="auto"/>
              <w:ind w:left="483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pacing w:val="-1"/>
                <w:sz w:val="20"/>
                <w:szCs w:val="20"/>
              </w:rPr>
              <w:t>主项</w:t>
            </w:r>
          </w:p>
        </w:tc>
        <w:tc>
          <w:tcPr>
            <w:tcW w:w="1210" w:type="dxa"/>
            <w:vAlign w:val="top"/>
          </w:tcPr>
          <w:p w14:paraId="6F758FDA">
            <w:pPr>
              <w:spacing w:before="157" w:line="226" w:lineRule="auto"/>
              <w:ind w:left="479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pacing w:val="2"/>
                <w:sz w:val="20"/>
                <w:szCs w:val="20"/>
              </w:rPr>
              <w:t>子项</w:t>
            </w:r>
          </w:p>
        </w:tc>
        <w:tc>
          <w:tcPr>
            <w:tcW w:w="735" w:type="dxa"/>
            <w:vMerge w:val="continue"/>
            <w:tcBorders>
              <w:top w:val="nil"/>
            </w:tcBorders>
            <w:vAlign w:val="top"/>
          </w:tcPr>
          <w:p w14:paraId="4A133426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380" w:type="dxa"/>
            <w:vMerge w:val="continue"/>
            <w:tcBorders>
              <w:top w:val="nil"/>
            </w:tcBorders>
            <w:vAlign w:val="top"/>
          </w:tcPr>
          <w:p w14:paraId="77F89BF6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top"/>
          </w:tcPr>
          <w:p w14:paraId="65ACFE0E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190" w:type="dxa"/>
            <w:vMerge w:val="continue"/>
            <w:tcBorders>
              <w:top w:val="nil"/>
            </w:tcBorders>
            <w:vAlign w:val="top"/>
          </w:tcPr>
          <w:p w14:paraId="7D7E3C91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191" w:type="dxa"/>
            <w:vMerge w:val="continue"/>
            <w:tcBorders>
              <w:top w:val="nil"/>
            </w:tcBorders>
            <w:vAlign w:val="top"/>
          </w:tcPr>
          <w:p w14:paraId="509C37F5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443" w:type="dxa"/>
            <w:vMerge w:val="continue"/>
            <w:tcBorders>
              <w:top w:val="nil"/>
            </w:tcBorders>
            <w:vAlign w:val="top"/>
          </w:tcPr>
          <w:p w14:paraId="316B2B19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159B1E54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41EF8C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  <w:jc w:val="center"/>
        </w:trPr>
        <w:tc>
          <w:tcPr>
            <w:tcW w:w="613" w:type="dxa"/>
            <w:shd w:val="clear" w:color="auto" w:fill="auto"/>
            <w:vAlign w:val="center"/>
          </w:tcPr>
          <w:p w14:paraId="51799773">
            <w:pPr>
              <w:pStyle w:val="8"/>
              <w:spacing w:before="58" w:line="181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F814DE6">
            <w:pPr>
              <w:pStyle w:val="8"/>
              <w:spacing w:before="58" w:line="233" w:lineRule="auto"/>
              <w:ind w:right="139" w:rightChars="0"/>
              <w:jc w:val="center"/>
              <w:rPr>
                <w:rFonts w:hint="eastAsia" w:ascii="仿宋_GB2312" w:hAnsi="仿宋_GB2312" w:eastAsia="仿宋_GB2312" w:cs="仿宋_GB2312"/>
                <w:spacing w:val="-7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省交</w:t>
            </w:r>
          </w:p>
          <w:p w14:paraId="0AA04404">
            <w:pPr>
              <w:pStyle w:val="8"/>
              <w:spacing w:before="58" w:line="233" w:lineRule="auto"/>
              <w:ind w:right="139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通厅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142021C">
            <w:pPr>
              <w:pStyle w:val="8"/>
              <w:spacing w:before="98" w:line="241" w:lineRule="auto"/>
              <w:ind w:right="16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</w:rPr>
              <w:t>内河专用航标</w:t>
            </w:r>
            <w:r>
              <w:rPr>
                <w:rFonts w:hint="eastAsia" w:ascii="仿宋_GB2312" w:hAnsi="仿宋_GB2312" w:eastAsia="仿宋_GB2312" w:cs="仿宋_GB2312"/>
                <w:spacing w:val="4"/>
              </w:rPr>
              <w:t>设置、撤除、</w:t>
            </w:r>
            <w:r>
              <w:rPr>
                <w:rFonts w:hint="eastAsia" w:ascii="仿宋_GB2312" w:hAnsi="仿宋_GB2312" w:eastAsia="仿宋_GB2312" w:cs="仿宋_GB2312"/>
                <w:spacing w:val="10"/>
              </w:rPr>
              <w:t>位置移动和其他状况改变审</w:t>
            </w:r>
            <w:r>
              <w:rPr>
                <w:rFonts w:hint="eastAsia" w:ascii="仿宋_GB2312" w:hAnsi="仿宋_GB2312" w:eastAsia="仿宋_GB2312" w:cs="仿宋_GB2312"/>
              </w:rPr>
              <w:t>批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659E7ABC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shd w:val="clear" w:color="auto" w:fill="auto"/>
            <w:vAlign w:val="center"/>
          </w:tcPr>
          <w:p w14:paraId="43574074">
            <w:pPr>
              <w:pStyle w:val="8"/>
              <w:spacing w:before="58" w:line="232" w:lineRule="auto"/>
              <w:ind w:right="185"/>
              <w:jc w:val="center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523DF325">
            <w:pPr>
              <w:pStyle w:val="8"/>
              <w:spacing w:before="58" w:line="232" w:lineRule="auto"/>
              <w:ind w:right="185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6AF0E57A">
            <w:pPr>
              <w:pStyle w:val="8"/>
              <w:spacing w:before="220" w:line="232" w:lineRule="auto"/>
              <w:ind w:right="56" w:rightChars="0"/>
              <w:jc w:val="left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16"/>
              </w:rPr>
              <w:t>《中华人民共和国航标条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例》第六条</w:t>
            </w:r>
          </w:p>
          <w:p w14:paraId="5D7FFA89">
            <w:pPr>
              <w:pStyle w:val="8"/>
              <w:spacing w:before="27" w:line="232" w:lineRule="auto"/>
              <w:ind w:right="56" w:rightChars="0"/>
              <w:jc w:val="left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《中华人民共和国航道管理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条例》第二十一条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3BC516B">
            <w:pPr>
              <w:pStyle w:val="8"/>
              <w:spacing w:before="59" w:line="217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</w:rPr>
              <w:t>下放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38DF4406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 市行政审批</w:t>
            </w:r>
          </w:p>
          <w:p w14:paraId="2D0A2707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 服务管理局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74C82831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县交通运输局</w:t>
            </w:r>
          </w:p>
        </w:tc>
        <w:tc>
          <w:tcPr>
            <w:tcW w:w="2443" w:type="dxa"/>
            <w:shd w:val="clear" w:color="auto" w:fill="auto"/>
            <w:vAlign w:val="center"/>
          </w:tcPr>
          <w:p w14:paraId="2669AF4C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8" w:line="240" w:lineRule="exact"/>
              <w:ind w:firstLine="348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  <w:t>县交通运输局要加强事中事后监管，加大日常督导检查，及时查处违法违规及不达标行为。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967E1A8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0419FF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3" w:hRule="atLeast"/>
          <w:jc w:val="center"/>
        </w:trPr>
        <w:tc>
          <w:tcPr>
            <w:tcW w:w="613" w:type="dxa"/>
            <w:shd w:val="clear" w:color="auto" w:fill="auto"/>
            <w:vAlign w:val="center"/>
          </w:tcPr>
          <w:p w14:paraId="77A7C488">
            <w:pPr>
              <w:pStyle w:val="8"/>
              <w:spacing w:before="58" w:line="181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lang w:val="en-US" w:eastAsia="zh-CN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E34EC74">
            <w:pPr>
              <w:pStyle w:val="8"/>
              <w:spacing w:before="59" w:line="233" w:lineRule="auto"/>
              <w:ind w:right="139" w:rightChars="0"/>
              <w:jc w:val="center"/>
              <w:rPr>
                <w:rFonts w:hint="eastAsia" w:ascii="仿宋_GB2312" w:hAnsi="仿宋_GB2312" w:eastAsia="仿宋_GB2312" w:cs="仿宋_GB2312"/>
                <w:spacing w:val="-7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省卫</w:t>
            </w:r>
          </w:p>
          <w:p w14:paraId="42E0343A">
            <w:pPr>
              <w:pStyle w:val="8"/>
              <w:spacing w:before="59" w:line="233" w:lineRule="auto"/>
              <w:ind w:right="139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健委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6330072">
            <w:pPr>
              <w:pStyle w:val="8"/>
              <w:spacing w:before="59" w:line="217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</w:rPr>
              <w:t>医疗广告审查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088CF56D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shd w:val="clear" w:color="auto" w:fill="auto"/>
            <w:vAlign w:val="center"/>
          </w:tcPr>
          <w:p w14:paraId="632F97E4">
            <w:pPr>
              <w:pStyle w:val="8"/>
              <w:spacing w:before="58" w:line="232" w:lineRule="auto"/>
              <w:ind w:right="185"/>
              <w:jc w:val="center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4AEFF18B">
            <w:pPr>
              <w:pStyle w:val="8"/>
              <w:spacing w:before="58" w:line="232" w:lineRule="auto"/>
              <w:ind w:right="185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7CE4C433">
            <w:pPr>
              <w:pStyle w:val="8"/>
              <w:spacing w:before="58" w:line="232" w:lineRule="auto"/>
              <w:ind w:right="11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《中华人民共和国广告法》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第四十六条</w:t>
            </w:r>
          </w:p>
          <w:p w14:paraId="5822BE47">
            <w:pPr>
              <w:pStyle w:val="8"/>
              <w:spacing w:before="26" w:line="237" w:lineRule="auto"/>
              <w:ind w:right="105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《医疗广告管理办法》（国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家工商行政管理总局、卫生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部令第26号）第八条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0546B17">
            <w:pPr>
              <w:pStyle w:val="8"/>
              <w:spacing w:before="58" w:line="232" w:lineRule="auto"/>
              <w:ind w:right="156"/>
              <w:jc w:val="center"/>
              <w:rPr>
                <w:rFonts w:hint="eastAsia" w:ascii="仿宋_GB2312" w:hAnsi="仿宋_GB2312" w:eastAsia="仿宋_GB2312" w:cs="仿宋_GB2312"/>
                <w:spacing w:val="-6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委托</w:t>
            </w:r>
          </w:p>
          <w:p w14:paraId="78D15274">
            <w:pPr>
              <w:pStyle w:val="8"/>
              <w:spacing w:before="58" w:line="232" w:lineRule="auto"/>
              <w:ind w:right="156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9"/>
              </w:rPr>
              <w:t>实施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2A52943F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 市行政审批</w:t>
            </w:r>
          </w:p>
          <w:p w14:paraId="68008809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 服务管理局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1E742E63">
            <w:pPr>
              <w:pStyle w:val="8"/>
              <w:spacing w:before="59" w:line="232" w:lineRule="auto"/>
              <w:ind w:right="127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县市场监督</w:t>
            </w:r>
          </w:p>
          <w:p w14:paraId="5EEF2317">
            <w:pPr>
              <w:pStyle w:val="8"/>
              <w:spacing w:before="59" w:line="232" w:lineRule="auto"/>
              <w:ind w:right="127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管理局、县卫</w:t>
            </w:r>
          </w:p>
          <w:p w14:paraId="758390A1">
            <w:pPr>
              <w:pStyle w:val="8"/>
              <w:spacing w:before="59" w:line="232" w:lineRule="auto"/>
              <w:ind w:right="127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生健康和体育局</w:t>
            </w:r>
          </w:p>
        </w:tc>
        <w:tc>
          <w:tcPr>
            <w:tcW w:w="2443" w:type="dxa"/>
            <w:shd w:val="clear" w:color="auto" w:fill="auto"/>
            <w:vAlign w:val="center"/>
          </w:tcPr>
          <w:p w14:paraId="1A58498D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8" w:line="240" w:lineRule="exact"/>
              <w:ind w:right="90" w:rightChars="0" w:firstLine="34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  <w:t>县市场监督管理局、县卫生健康和体育局要做好医疗广告日常监管和查处工作，对刊播虚假违法医疗广告的医疗机构，按照《医疗广告管理办法》规定，及时进行查处；对篡改《医疗广告审查证明》内容发布医疗广告的，及时通知医疗广告审查机关按规定撤销《医疗广告审查证明》，并在一年内不受理该医疗机构的广告审批申请；做好虚假违法医疗广告案件移交工作，对发现的虚假违法医疗广告及时移送至同级市场监管部门进行查处。</w:t>
            </w:r>
          </w:p>
        </w:tc>
        <w:tc>
          <w:tcPr>
            <w:tcW w:w="825" w:type="dxa"/>
            <w:shd w:val="clear" w:color="auto" w:fill="auto"/>
            <w:vAlign w:val="top"/>
          </w:tcPr>
          <w:p w14:paraId="7FDF0A72"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49008D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3" w:hRule="atLeast"/>
          <w:jc w:val="center"/>
        </w:trPr>
        <w:tc>
          <w:tcPr>
            <w:tcW w:w="613" w:type="dxa"/>
            <w:shd w:val="clear" w:color="auto" w:fill="auto"/>
            <w:vAlign w:val="center"/>
          </w:tcPr>
          <w:p w14:paraId="4CD0B7C1">
            <w:pPr>
              <w:pStyle w:val="8"/>
              <w:spacing w:before="59" w:line="181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lang w:val="en-US" w:eastAsia="zh-CN"/>
              </w:rPr>
              <w:t>3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46F9B46">
            <w:pPr>
              <w:pStyle w:val="8"/>
              <w:spacing w:before="58" w:line="233" w:lineRule="auto"/>
              <w:ind w:right="139" w:rightChars="0"/>
              <w:jc w:val="center"/>
              <w:rPr>
                <w:rFonts w:hint="eastAsia" w:ascii="仿宋_GB2312" w:hAnsi="仿宋_GB2312" w:eastAsia="仿宋_GB2312" w:cs="仿宋_GB2312"/>
                <w:spacing w:val="-7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省卫</w:t>
            </w:r>
          </w:p>
          <w:p w14:paraId="2140DEDD">
            <w:pPr>
              <w:pStyle w:val="8"/>
              <w:spacing w:before="58" w:line="233" w:lineRule="auto"/>
              <w:ind w:right="139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健委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B950218">
            <w:pPr>
              <w:pStyle w:val="8"/>
              <w:tabs>
                <w:tab w:val="left" w:pos="1050"/>
              </w:tabs>
              <w:spacing w:before="59" w:line="232" w:lineRule="auto"/>
              <w:ind w:right="16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中医医疗广告</w:t>
            </w:r>
            <w:r>
              <w:rPr>
                <w:rFonts w:hint="eastAsia" w:ascii="仿宋_GB2312" w:hAnsi="仿宋_GB2312" w:eastAsia="仿宋_GB2312" w:cs="仿宋_GB2312"/>
                <w:spacing w:val="-10"/>
              </w:rPr>
              <w:t>审查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3253FFF4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35" w:type="dxa"/>
            <w:shd w:val="clear" w:color="auto" w:fill="auto"/>
            <w:vAlign w:val="center"/>
          </w:tcPr>
          <w:p w14:paraId="743EB2C0">
            <w:pPr>
              <w:pStyle w:val="8"/>
              <w:spacing w:before="59" w:line="232" w:lineRule="auto"/>
              <w:ind w:right="185"/>
              <w:jc w:val="center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6EBBCFE8">
            <w:pPr>
              <w:pStyle w:val="8"/>
              <w:spacing w:before="59" w:line="232" w:lineRule="auto"/>
              <w:ind w:right="185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1232F9E0">
            <w:pPr>
              <w:pStyle w:val="8"/>
              <w:spacing w:before="59" w:line="232" w:lineRule="auto"/>
              <w:ind w:right="11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《中华人民共和国广告法》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第四十六条</w:t>
            </w:r>
          </w:p>
          <w:p w14:paraId="3527FE28">
            <w:pPr>
              <w:pStyle w:val="8"/>
              <w:spacing w:before="26" w:line="237" w:lineRule="auto"/>
              <w:ind w:right="105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《医疗广告管理办法》（国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家工商行政管理总局、卫生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部令第26号）第八条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F25F1A3">
            <w:pPr>
              <w:pStyle w:val="8"/>
              <w:spacing w:before="59" w:line="232" w:lineRule="auto"/>
              <w:ind w:right="156"/>
              <w:jc w:val="center"/>
              <w:rPr>
                <w:rFonts w:hint="eastAsia" w:ascii="仿宋_GB2312" w:hAnsi="仿宋_GB2312" w:eastAsia="仿宋_GB2312" w:cs="仿宋_GB2312"/>
                <w:spacing w:val="-6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委托</w:t>
            </w:r>
          </w:p>
          <w:p w14:paraId="725589E4">
            <w:pPr>
              <w:pStyle w:val="8"/>
              <w:spacing w:before="59" w:line="232" w:lineRule="auto"/>
              <w:ind w:right="156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9"/>
              </w:rPr>
              <w:t>实施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06D68D63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 市行政审批</w:t>
            </w:r>
          </w:p>
          <w:p w14:paraId="6F1C8630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 服务管理局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692D2031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县市场监督管理局、县卫生健康和体育局</w:t>
            </w:r>
          </w:p>
        </w:tc>
        <w:tc>
          <w:tcPr>
            <w:tcW w:w="2443" w:type="dxa"/>
            <w:shd w:val="clear" w:color="auto" w:fill="auto"/>
            <w:vAlign w:val="center"/>
          </w:tcPr>
          <w:p w14:paraId="1DA9C5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4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  <w:t>县市场监督管理局、县卫生健康和体育局要做好医疗广告日常监管和查处工作，对刊播虚假违法医疗广告的医疗机构，按照《医疗广告管理办法》规定，及时进行查处；对篡改《医疗广告审查证明》内容发布医疗广告的，及时通知医疗广告审查机关按规定撤销《医疗广告审查证明》，并在一年内不受理该医疗机构的广告审批申请；做好虚假违法医疗广告案件移交工作，对发现的虚假违法医疗广告及时移送至同级市场监管部门进行查处。</w:t>
            </w:r>
          </w:p>
        </w:tc>
        <w:tc>
          <w:tcPr>
            <w:tcW w:w="825" w:type="dxa"/>
            <w:shd w:val="clear" w:color="auto" w:fill="auto"/>
            <w:vAlign w:val="top"/>
          </w:tcPr>
          <w:p w14:paraId="399CBCFC"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54E44B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8" w:hRule="atLeast"/>
          <w:jc w:val="center"/>
        </w:trPr>
        <w:tc>
          <w:tcPr>
            <w:tcW w:w="613" w:type="dxa"/>
            <w:shd w:val="clear" w:color="auto" w:fill="auto"/>
            <w:vAlign w:val="center"/>
          </w:tcPr>
          <w:p w14:paraId="2C6E583F">
            <w:pPr>
              <w:pStyle w:val="8"/>
              <w:spacing w:before="58" w:line="181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lang w:val="en-US" w:eastAsia="zh-CN"/>
              </w:rPr>
              <w:t>4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E5AF5E2">
            <w:pPr>
              <w:pStyle w:val="8"/>
              <w:tabs>
                <w:tab w:val="left" w:pos="640"/>
              </w:tabs>
              <w:spacing w:before="59" w:line="233" w:lineRule="auto"/>
              <w:ind w:right="1" w:rightChars="0"/>
              <w:jc w:val="center"/>
              <w:rPr>
                <w:rFonts w:hint="eastAsia" w:ascii="仿宋_GB2312" w:hAnsi="仿宋_GB2312" w:eastAsia="仿宋_GB2312" w:cs="仿宋_GB2312"/>
                <w:spacing w:val="-7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</w:rPr>
              <w:t>省卫</w:t>
            </w:r>
          </w:p>
          <w:p w14:paraId="2D842869">
            <w:pPr>
              <w:pStyle w:val="8"/>
              <w:tabs>
                <w:tab w:val="left" w:pos="640"/>
              </w:tabs>
              <w:spacing w:before="59" w:line="233" w:lineRule="auto"/>
              <w:ind w:right="1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</w:rPr>
              <w:t>健委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4D9343C">
            <w:pPr>
              <w:pStyle w:val="8"/>
              <w:spacing w:before="59" w:line="232" w:lineRule="auto"/>
              <w:ind w:right="16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</w:rPr>
              <w:t>消毒产品生产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单位审批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155C51C8">
            <w:pPr>
              <w:pStyle w:val="8"/>
              <w:spacing w:before="58" w:line="232" w:lineRule="auto"/>
              <w:ind w:right="-53" w:rightChars="-25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</w:rPr>
              <w:t>消毒产品生产单位卫生行政</w:t>
            </w:r>
          </w:p>
          <w:p w14:paraId="48157D27">
            <w:pPr>
              <w:pStyle w:val="8"/>
              <w:spacing w:before="28" w:line="217" w:lineRule="auto"/>
              <w:ind w:right="-53" w:rightChars="-25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  <w:r>
              <w:rPr>
                <w:rFonts w:hint="eastAsia" w:ascii="仿宋_GB2312" w:hAnsi="仿宋_GB2312" w:eastAsia="仿宋_GB2312" w:cs="仿宋_GB2312"/>
                <w:spacing w:val="4"/>
              </w:rPr>
              <w:t>（新办）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0DDF82AF">
            <w:pPr>
              <w:pStyle w:val="8"/>
              <w:spacing w:before="59" w:line="232" w:lineRule="auto"/>
              <w:ind w:right="185"/>
              <w:jc w:val="center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74C9CEBD">
            <w:pPr>
              <w:pStyle w:val="8"/>
              <w:spacing w:before="59" w:line="232" w:lineRule="auto"/>
              <w:ind w:right="185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56E0472B">
            <w:pPr>
              <w:pStyle w:val="8"/>
              <w:spacing w:before="59" w:line="232" w:lineRule="auto"/>
              <w:ind w:right="105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《中华人民共和国传染病防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治法》第二十九条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C506B0A">
            <w:pPr>
              <w:pStyle w:val="8"/>
              <w:spacing w:before="59" w:line="232" w:lineRule="auto"/>
              <w:ind w:right="156"/>
              <w:jc w:val="center"/>
              <w:rPr>
                <w:rFonts w:hint="eastAsia" w:ascii="仿宋_GB2312" w:hAnsi="仿宋_GB2312" w:eastAsia="仿宋_GB2312" w:cs="仿宋_GB2312"/>
                <w:spacing w:val="-6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委托</w:t>
            </w:r>
          </w:p>
          <w:p w14:paraId="23164A3D">
            <w:pPr>
              <w:pStyle w:val="8"/>
              <w:spacing w:before="59" w:line="232" w:lineRule="auto"/>
              <w:ind w:right="156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9"/>
              </w:rPr>
              <w:t>实施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0FD7DAC4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 市行政审批</w:t>
            </w:r>
          </w:p>
          <w:p w14:paraId="703D63B8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 服务管理局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6DB56DFD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县卫生健康</w:t>
            </w:r>
          </w:p>
          <w:p w14:paraId="5A69723A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和体育局</w:t>
            </w:r>
          </w:p>
        </w:tc>
        <w:tc>
          <w:tcPr>
            <w:tcW w:w="2443" w:type="dxa"/>
            <w:shd w:val="clear" w:color="auto" w:fill="auto"/>
            <w:vAlign w:val="center"/>
          </w:tcPr>
          <w:p w14:paraId="6DBCF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4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  <w:t>1.县卫生健康和体育局负责本辖区消毒产品生产企业的日常监督管理，对于日常监督检查中发现的违法违规行为，依法依规予以查处，对生产企业不符合许可条件和要求的，通报原发证部门依法撤销相关企业的卫生许可证件。建立生产企业监督管理档案制度，将日常监督检查和违法违规行为等情况记录存档；</w:t>
            </w:r>
          </w:p>
          <w:p w14:paraId="66F97E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4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  <w:t>2.县卫生健康和体育局按照“双随机、一公开”要求，制定年度工作计划，做好消毒产品抽查工作。</w:t>
            </w:r>
          </w:p>
        </w:tc>
        <w:tc>
          <w:tcPr>
            <w:tcW w:w="825" w:type="dxa"/>
            <w:shd w:val="clear" w:color="auto" w:fill="auto"/>
            <w:vAlign w:val="top"/>
          </w:tcPr>
          <w:p w14:paraId="5EBD49A6"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13EAE7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8" w:hRule="atLeast"/>
          <w:jc w:val="center"/>
        </w:trPr>
        <w:tc>
          <w:tcPr>
            <w:tcW w:w="613" w:type="dxa"/>
            <w:shd w:val="clear" w:color="auto" w:fill="auto"/>
            <w:vAlign w:val="center"/>
          </w:tcPr>
          <w:p w14:paraId="656FB016">
            <w:pPr>
              <w:pStyle w:val="8"/>
              <w:spacing w:before="58" w:line="181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lang w:val="en-US" w:eastAsia="zh-CN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C004943">
            <w:pPr>
              <w:pStyle w:val="8"/>
              <w:spacing w:before="58" w:line="233" w:lineRule="auto"/>
              <w:ind w:right="139" w:rightChars="0"/>
              <w:jc w:val="center"/>
              <w:rPr>
                <w:rFonts w:hint="eastAsia" w:ascii="仿宋_GB2312" w:hAnsi="仿宋_GB2312" w:eastAsia="仿宋_GB2312" w:cs="仿宋_GB2312"/>
                <w:spacing w:val="-7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省卫</w:t>
            </w:r>
          </w:p>
          <w:p w14:paraId="3F399677">
            <w:pPr>
              <w:pStyle w:val="8"/>
              <w:spacing w:before="58" w:line="233" w:lineRule="auto"/>
              <w:ind w:right="139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健委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49463BA7">
            <w:pPr>
              <w:pStyle w:val="8"/>
              <w:spacing w:before="59" w:line="232" w:lineRule="auto"/>
              <w:ind w:right="16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</w:rPr>
              <w:t>消毒产品生产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单位审批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284D53A9">
            <w:pPr>
              <w:pStyle w:val="8"/>
              <w:spacing w:before="58" w:line="232" w:lineRule="auto"/>
              <w:ind w:right="-54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</w:rPr>
              <w:t>消毒产品生产单位卫生行政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  <w:r>
              <w:rPr>
                <w:rFonts w:hint="eastAsia" w:ascii="仿宋_GB2312" w:hAnsi="仿宋_GB2312" w:eastAsia="仿宋_GB2312" w:cs="仿宋_GB2312"/>
                <w:spacing w:val="4"/>
              </w:rPr>
              <w:t>（延续）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0BAC869D">
            <w:pPr>
              <w:pStyle w:val="8"/>
              <w:spacing w:before="58" w:line="232" w:lineRule="auto"/>
              <w:ind w:right="185"/>
              <w:jc w:val="center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42F9446F">
            <w:pPr>
              <w:pStyle w:val="8"/>
              <w:spacing w:before="58" w:line="232" w:lineRule="auto"/>
              <w:ind w:right="185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48CD04CB">
            <w:pPr>
              <w:pStyle w:val="8"/>
              <w:spacing w:before="58" w:line="232" w:lineRule="auto"/>
              <w:ind w:right="105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《中华人民共和国传染病防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治法》第二十九条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18CE7E2">
            <w:pPr>
              <w:pStyle w:val="8"/>
              <w:tabs>
                <w:tab w:val="left" w:pos="640"/>
              </w:tabs>
              <w:spacing w:before="58" w:line="232" w:lineRule="auto"/>
              <w:ind w:right="36" w:rightChars="0"/>
              <w:jc w:val="center"/>
              <w:rPr>
                <w:rFonts w:hint="eastAsia" w:ascii="仿宋_GB2312" w:hAnsi="仿宋_GB2312" w:eastAsia="仿宋_GB2312" w:cs="仿宋_GB2312"/>
                <w:spacing w:val="-6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委托</w:t>
            </w:r>
          </w:p>
          <w:p w14:paraId="5FBDB09F">
            <w:pPr>
              <w:pStyle w:val="8"/>
              <w:tabs>
                <w:tab w:val="left" w:pos="640"/>
              </w:tabs>
              <w:spacing w:before="58" w:line="232" w:lineRule="auto"/>
              <w:ind w:right="36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</w:rPr>
              <w:t>实施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564B87B8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 市行政审批</w:t>
            </w:r>
          </w:p>
          <w:p w14:paraId="1D75F2C7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 服务管理局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6DB3ACA5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县卫生健康</w:t>
            </w:r>
          </w:p>
          <w:p w14:paraId="4B32146B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和体育局</w:t>
            </w:r>
          </w:p>
        </w:tc>
        <w:tc>
          <w:tcPr>
            <w:tcW w:w="2443" w:type="dxa"/>
            <w:shd w:val="clear" w:color="auto" w:fill="auto"/>
            <w:vAlign w:val="center"/>
          </w:tcPr>
          <w:p w14:paraId="3E06F0FA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right="108" w:rightChars="0" w:firstLine="34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1.县卫生健康和体育局负责本辖区消毒产品生产企业的日常监督管理，对于日常监督检查中发现的违法违规行为，依法依规予以查处，对生产企业不符合许可条件和要求的，通报原发证部门依法撤销相关企业的卫生许可证件。建立生产企业监督管理档案制度，将日常监督检查和违法违规行为等情况记录存档；</w:t>
            </w:r>
          </w:p>
          <w:p w14:paraId="02AE8193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right="108" w:rightChars="0" w:firstLine="34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2.县卫生健康和体育局按照“双随机、一公开”要求，制定年度工作计划，做好消毒产品抽查工作。</w:t>
            </w:r>
          </w:p>
        </w:tc>
        <w:tc>
          <w:tcPr>
            <w:tcW w:w="825" w:type="dxa"/>
            <w:shd w:val="clear" w:color="auto" w:fill="auto"/>
            <w:vAlign w:val="top"/>
          </w:tcPr>
          <w:p w14:paraId="35AF2281"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72485F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3" w:hRule="atLeast"/>
          <w:jc w:val="center"/>
        </w:trPr>
        <w:tc>
          <w:tcPr>
            <w:tcW w:w="613" w:type="dxa"/>
            <w:shd w:val="clear" w:color="auto" w:fill="auto"/>
            <w:vAlign w:val="center"/>
          </w:tcPr>
          <w:p w14:paraId="6001728E">
            <w:pPr>
              <w:pStyle w:val="8"/>
              <w:spacing w:before="59" w:line="181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lang w:val="en-US" w:eastAsia="zh-CN"/>
              </w:rPr>
              <w:t>6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B33180A">
            <w:pPr>
              <w:pStyle w:val="8"/>
              <w:spacing w:before="58" w:line="233" w:lineRule="auto"/>
              <w:ind w:right="139" w:rightChars="0"/>
              <w:jc w:val="center"/>
              <w:rPr>
                <w:rFonts w:hint="eastAsia" w:ascii="仿宋_GB2312" w:hAnsi="仿宋_GB2312" w:eastAsia="仿宋_GB2312" w:cs="仿宋_GB2312"/>
                <w:spacing w:val="-7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省卫</w:t>
            </w:r>
          </w:p>
          <w:p w14:paraId="5C5102F0">
            <w:pPr>
              <w:pStyle w:val="8"/>
              <w:spacing w:before="58" w:line="233" w:lineRule="auto"/>
              <w:ind w:right="139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健委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AC59005">
            <w:pPr>
              <w:pStyle w:val="8"/>
              <w:spacing w:before="58" w:line="232" w:lineRule="auto"/>
              <w:ind w:right="16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</w:rPr>
              <w:t>消毒产品生产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单位审批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486F3078">
            <w:pPr>
              <w:pStyle w:val="8"/>
              <w:spacing w:before="59" w:line="237" w:lineRule="auto"/>
              <w:ind w:right="-54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</w:rPr>
              <w:t>消毒产品生产单位卫生行政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许可（变更）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26309BEA">
            <w:pPr>
              <w:pStyle w:val="8"/>
              <w:spacing w:before="59" w:line="232" w:lineRule="auto"/>
              <w:ind w:right="185"/>
              <w:jc w:val="center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23FFEC5F">
            <w:pPr>
              <w:pStyle w:val="8"/>
              <w:spacing w:before="59" w:line="232" w:lineRule="auto"/>
              <w:ind w:right="185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6C670E10">
            <w:pPr>
              <w:pStyle w:val="8"/>
              <w:spacing w:before="59" w:line="232" w:lineRule="auto"/>
              <w:ind w:right="105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《中华人民共和国传染病防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治法》第二十九条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616CA5B">
            <w:pPr>
              <w:pStyle w:val="8"/>
              <w:spacing w:before="59" w:line="232" w:lineRule="auto"/>
              <w:ind w:right="36" w:rightChars="0"/>
              <w:jc w:val="center"/>
              <w:rPr>
                <w:rFonts w:hint="eastAsia" w:ascii="仿宋_GB2312" w:hAnsi="仿宋_GB2312" w:eastAsia="仿宋_GB2312" w:cs="仿宋_GB2312"/>
                <w:spacing w:val="-6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委托</w:t>
            </w:r>
          </w:p>
          <w:p w14:paraId="47B97ECF">
            <w:pPr>
              <w:pStyle w:val="8"/>
              <w:spacing w:before="59" w:line="232" w:lineRule="auto"/>
              <w:ind w:right="36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</w:rPr>
              <w:t>实施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4A5C8850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 市行政审批</w:t>
            </w:r>
          </w:p>
          <w:p w14:paraId="49FEA964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 服务管理局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4AB9D48D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县卫生健康</w:t>
            </w:r>
          </w:p>
          <w:p w14:paraId="1FDF25A3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 xml:space="preserve"> 和体育局</w:t>
            </w:r>
          </w:p>
        </w:tc>
        <w:tc>
          <w:tcPr>
            <w:tcW w:w="2443" w:type="dxa"/>
            <w:shd w:val="clear" w:color="auto" w:fill="auto"/>
            <w:vAlign w:val="center"/>
          </w:tcPr>
          <w:p w14:paraId="45711C05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right="108" w:rightChars="0" w:firstLine="34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1.县卫生健康和体育局负责本辖区消毒产品生产企业的日常监督管理，对于日常监督检查中发现的违法违规行为，依法依规予以查处，对生产企业不符合许可条件和要求的，通报原发证部门依法撤销相关企业的卫生许可证件。建立生产企业监督管理档案制度，将日常监督检查和违法违规行为等情况记录存档；</w:t>
            </w:r>
          </w:p>
          <w:p w14:paraId="755F44E9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right="108" w:rightChars="0" w:firstLine="34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2.县卫生健康和体育局按照“双随机、一公开”要求，制定年度工作计划，做好消毒产品抽查工作。</w:t>
            </w:r>
          </w:p>
        </w:tc>
        <w:tc>
          <w:tcPr>
            <w:tcW w:w="825" w:type="dxa"/>
            <w:shd w:val="clear" w:color="auto" w:fill="auto"/>
            <w:vAlign w:val="top"/>
          </w:tcPr>
          <w:p w14:paraId="64EA215C"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4D0851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  <w:jc w:val="center"/>
        </w:trPr>
        <w:tc>
          <w:tcPr>
            <w:tcW w:w="613" w:type="dxa"/>
            <w:shd w:val="clear" w:color="auto" w:fill="auto"/>
            <w:vAlign w:val="center"/>
          </w:tcPr>
          <w:p w14:paraId="3CDD57B9">
            <w:pPr>
              <w:pStyle w:val="8"/>
              <w:spacing w:before="58" w:line="181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lang w:val="en-US" w:eastAsia="zh-CN"/>
              </w:rPr>
              <w:t>7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740F3AF">
            <w:pPr>
              <w:pStyle w:val="8"/>
              <w:spacing w:before="59" w:line="237" w:lineRule="auto"/>
              <w:ind w:right="139" w:rightChars="0"/>
              <w:jc w:val="center"/>
              <w:rPr>
                <w:rFonts w:hint="eastAsia" w:ascii="仿宋_GB2312" w:hAnsi="仿宋_GB2312" w:eastAsia="仿宋_GB2312" w:cs="仿宋_GB2312"/>
                <w:spacing w:val="-7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7"/>
              </w:rPr>
              <w:t>省市</w:t>
            </w:r>
          </w:p>
          <w:p w14:paraId="2AD4D668">
            <w:pPr>
              <w:pStyle w:val="8"/>
              <w:spacing w:before="59" w:line="237" w:lineRule="auto"/>
              <w:ind w:right="139" w:rightChars="0"/>
              <w:jc w:val="center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场监</w:t>
            </w:r>
          </w:p>
          <w:p w14:paraId="19D3E3E3">
            <w:pPr>
              <w:pStyle w:val="8"/>
              <w:spacing w:before="59" w:line="237" w:lineRule="auto"/>
              <w:ind w:right="139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4"/>
              </w:rPr>
              <w:t>管局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194C7500">
            <w:pPr>
              <w:pStyle w:val="8"/>
              <w:tabs>
                <w:tab w:val="left" w:pos="1060"/>
              </w:tabs>
              <w:spacing w:before="58" w:line="237" w:lineRule="auto"/>
              <w:ind w:right="16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</w:rPr>
              <w:t>移动式压力容</w:t>
            </w:r>
            <w:r>
              <w:rPr>
                <w:rFonts w:hint="eastAsia" w:ascii="仿宋_GB2312" w:hAnsi="仿宋_GB2312" w:eastAsia="仿宋_GB2312" w:cs="仿宋_GB2312"/>
                <w:spacing w:val="10"/>
              </w:rPr>
              <w:t>器、气瓶充装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许可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0949A062">
            <w:pPr>
              <w:pStyle w:val="8"/>
              <w:spacing w:before="58" w:line="217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</w:rPr>
              <w:t>气瓶充装许可</w:t>
            </w:r>
          </w:p>
        </w:tc>
        <w:tc>
          <w:tcPr>
            <w:tcW w:w="735" w:type="dxa"/>
            <w:shd w:val="clear" w:color="auto" w:fill="auto"/>
            <w:vAlign w:val="center"/>
          </w:tcPr>
          <w:p w14:paraId="3F720EA6">
            <w:pPr>
              <w:pStyle w:val="8"/>
              <w:spacing w:before="58" w:line="232" w:lineRule="auto"/>
              <w:ind w:right="185" w:rightChars="0"/>
              <w:jc w:val="center"/>
              <w:rPr>
                <w:rFonts w:hint="eastAsia" w:ascii="仿宋_GB2312" w:hAnsi="仿宋_GB2312" w:eastAsia="仿宋_GB2312" w:cs="仿宋_GB2312"/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</w:rPr>
              <w:t>行政</w:t>
            </w:r>
          </w:p>
          <w:p w14:paraId="625E8D2B">
            <w:pPr>
              <w:pStyle w:val="8"/>
              <w:spacing w:before="58" w:line="232" w:lineRule="auto"/>
              <w:ind w:right="185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许可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1884F584">
            <w:pPr>
              <w:pStyle w:val="8"/>
              <w:spacing w:before="59" w:line="232" w:lineRule="auto"/>
              <w:ind w:right="56" w:rightChars="0"/>
              <w:jc w:val="both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《中华人民共和国特种设备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安全法》第四十九条</w:t>
            </w:r>
          </w:p>
          <w:p w14:paraId="2ABA1AC0">
            <w:pPr>
              <w:pStyle w:val="8"/>
              <w:spacing w:before="26" w:line="237" w:lineRule="auto"/>
              <w:ind w:right="56" w:rightChars="0"/>
              <w:jc w:val="both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《特种设备安全监察条例》</w:t>
            </w:r>
            <w:r>
              <w:rPr>
                <w:rFonts w:hint="eastAsia" w:ascii="仿宋_GB2312" w:hAnsi="仿宋_GB2312" w:eastAsia="仿宋_GB2312" w:cs="仿宋_GB2312"/>
                <w:spacing w:val="-2"/>
              </w:rPr>
              <w:t>(国务院令第373号)第二条、第三条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388C1D5">
            <w:pPr>
              <w:pStyle w:val="8"/>
              <w:spacing w:before="58" w:line="232" w:lineRule="auto"/>
              <w:ind w:right="36" w:rightChars="0"/>
              <w:jc w:val="center"/>
              <w:rPr>
                <w:rFonts w:hint="eastAsia" w:ascii="仿宋_GB2312" w:hAnsi="仿宋_GB2312" w:eastAsia="仿宋_GB2312" w:cs="仿宋_GB2312"/>
                <w:spacing w:val="-6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委托</w:t>
            </w:r>
          </w:p>
          <w:p w14:paraId="18F740F7">
            <w:pPr>
              <w:pStyle w:val="8"/>
              <w:spacing w:before="58" w:line="232" w:lineRule="auto"/>
              <w:ind w:right="36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</w:rPr>
              <w:t>实施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44A2BBE3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市市场监督</w:t>
            </w:r>
          </w:p>
          <w:p w14:paraId="14E17951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管理局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576C94B4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县市场监督</w:t>
            </w:r>
          </w:p>
          <w:p w14:paraId="5E8EE2E2">
            <w:pPr>
              <w:pStyle w:val="8"/>
              <w:spacing w:before="59" w:line="232" w:lineRule="auto"/>
              <w:ind w:right="106" w:rightChars="0"/>
              <w:jc w:val="center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管理局</w:t>
            </w:r>
          </w:p>
        </w:tc>
        <w:tc>
          <w:tcPr>
            <w:tcW w:w="2443" w:type="dxa"/>
            <w:shd w:val="clear" w:color="auto" w:fill="auto"/>
            <w:vAlign w:val="center"/>
          </w:tcPr>
          <w:p w14:paraId="6B5C4C81"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9" w:line="240" w:lineRule="exact"/>
              <w:ind w:right="106" w:rightChars="0" w:firstLine="348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3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lang w:val="en-US" w:eastAsia="zh-CN"/>
              </w:rPr>
              <w:t>县市场监督管理局要加强日常督导检查，及时查处违法违规及不达标行为，确保监管到位。</w:t>
            </w:r>
          </w:p>
        </w:tc>
        <w:tc>
          <w:tcPr>
            <w:tcW w:w="825" w:type="dxa"/>
            <w:shd w:val="clear" w:color="auto" w:fill="auto"/>
            <w:vAlign w:val="top"/>
          </w:tcPr>
          <w:p w14:paraId="3D0D4399">
            <w:pPr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 w14:paraId="3C6AA3B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pos="318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35CAEC6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pos="318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7B41D51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pos="318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12CC584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pos="318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7836A98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pos="318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7F007CB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pos="318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4B562981"/>
    <w:sectPr>
      <w:pgSz w:w="16839" w:h="11906"/>
      <w:pgMar w:top="1587" w:right="2098" w:bottom="1474" w:left="1984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2JiMWMyNGNjZTg0YTIwMGRkMThiNTBmMGRjYzEifQ=="/>
  </w:docVars>
  <w:rsids>
    <w:rsidRoot w:val="50933CDE"/>
    <w:rsid w:val="20315E9C"/>
    <w:rsid w:val="2F7D0FB0"/>
    <w:rsid w:val="3D973AFD"/>
    <w:rsid w:val="40133FB0"/>
    <w:rsid w:val="4F9F217E"/>
    <w:rsid w:val="50933CDE"/>
    <w:rsid w:val="561714F6"/>
    <w:rsid w:val="744F5002"/>
    <w:rsid w:val="769230B6"/>
    <w:rsid w:val="771B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6"/>
      <w:szCs w:val="26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仿宋" w:hAnsi="仿宋" w:eastAsia="仿宋" w:cs="仿宋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4783</Words>
  <Characters>4853</Characters>
  <Lines>0</Lines>
  <Paragraphs>0</Paragraphs>
  <TotalTime>21</TotalTime>
  <ScaleCrop>false</ScaleCrop>
  <LinksUpToDate>false</LinksUpToDate>
  <CharactersWithSpaces>4853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2024-10-29T02:13:00Z</dcterms:created>
  <dc:creator>LENOVO</dc:creator>
  <cp:lastModifiedBy>LENOVO</cp:lastModifiedBy>
  <cp:lastPrinted>2024-10-30T08:35:37Z</cp:lastPrinted>
  <dcterms:modified xsi:type="dcterms:W3CDTF">2024-10-30T08:57:35Z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918ED0C8E7014E1B92D352B9082AEDC5_11</vt:lpwstr>
  </property>
</Properties>
</file>